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72" w:leftChars="-85" w:right="-234" w:rightChars="-73"/>
        <w:jc w:val="center"/>
        <w:rPr>
          <w:rFonts w:hint="eastAsia" w:ascii="方正小标宋简体" w:hAnsi="方正小标宋简体" w:eastAsia="方正小标宋简体"/>
          <w:sz w:val="44"/>
        </w:rPr>
      </w:pPr>
      <w:r>
        <w:rPr>
          <w:rFonts w:hint="eastAsia" w:ascii="方正小标宋简体" w:hAnsi="方正小标宋简体" w:eastAsia="方正小标宋简体"/>
        </w:rPr>
        <mc:AlternateContent>
          <mc:Choice Requires="wps">
            <w:drawing>
              <wp:anchor distT="0" distB="0" distL="114300" distR="114300" simplePos="0" relativeHeight="251659264" behindDoc="0" locked="0" layoutInCell="1" allowOverlap="1">
                <wp:simplePos x="0" y="0"/>
                <wp:positionH relativeFrom="column">
                  <wp:posOffset>-371475</wp:posOffset>
                </wp:positionH>
                <wp:positionV relativeFrom="paragraph">
                  <wp:posOffset>-723900</wp:posOffset>
                </wp:positionV>
                <wp:extent cx="742315" cy="447040"/>
                <wp:effectExtent l="0" t="0" r="0" b="0"/>
                <wp:wrapSquare wrapText="bothSides"/>
                <wp:docPr id="1" name="矩形 2"/>
                <wp:cNvGraphicFramePr/>
                <a:graphic xmlns:a="http://schemas.openxmlformats.org/drawingml/2006/main">
                  <a:graphicData uri="http://schemas.microsoft.com/office/word/2010/wordprocessingShape">
                    <wps:wsp>
                      <wps:cNvSpPr/>
                      <wps:spPr>
                        <a:xfrm>
                          <a:off x="0" y="0"/>
                          <a:ext cx="742315" cy="447040"/>
                        </a:xfrm>
                        <a:prstGeom prst="rect">
                          <a:avLst/>
                        </a:prstGeom>
                        <a:noFill/>
                        <a:ln w="9525">
                          <a:noFill/>
                        </a:ln>
                      </wps:spPr>
                      <wps:txbx>
                        <w:txbxContent>
                          <w:p>
                            <w:pPr>
                              <w:spacing w:line="560" w:lineRule="exact"/>
                              <w:rPr>
                                <w:rFonts w:hint="eastAsia" w:ascii="仿宋_GB2312" w:hAnsi="仿宋_GB2312" w:eastAsia="仿宋_GB2312"/>
                              </w:rPr>
                            </w:pPr>
                            <w:r>
                              <w:rPr>
                                <w:rFonts w:hint="eastAsia" w:ascii="仿宋_GB2312" w:hAnsi="仿宋_GB2312" w:eastAsia="仿宋_GB2312"/>
                              </w:rPr>
                              <w:t>附件2</w:t>
                            </w:r>
                          </w:p>
                        </w:txbxContent>
                      </wps:txbx>
                      <wps:bodyPr wrap="none" upright="1">
                        <a:spAutoFit/>
                      </wps:bodyPr>
                    </wps:wsp>
                  </a:graphicData>
                </a:graphic>
              </wp:anchor>
            </w:drawing>
          </mc:Choice>
          <mc:Fallback>
            <w:pict>
              <v:rect id="矩形 2" o:spid="_x0000_s1026" o:spt="1" style="position:absolute;left:0pt;margin-left:-29.25pt;margin-top:-57pt;height:35.2pt;width:58.45pt;mso-wrap-distance-bottom:0pt;mso-wrap-distance-left:9pt;mso-wrap-distance-right:9pt;mso-wrap-distance-top:0pt;mso-wrap-style:none;z-index:251659264;mso-width-relative:page;mso-height-relative:page;" filled="f" stroked="f" coordsize="21600,21600" o:gfxdata="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KVrie2QAAAAsBAAAPAAAA&#10;AAAAAAEAIAAAACIAAABkcnMvZG93bnJldi54bWxQSwECFAAUAAAACACHTuJA50iRxaIBAAAhAwAA&#10;DgAAAAAAAAABACAAAAAoAQAAZHJzL2Uyb0RvYy54bWxQSwUGAAAAAAYABgBZAQAAPAUAAAAA&#10;">
                <v:fill on="f" focussize="0,0"/>
                <v:stroke on="f"/>
                <v:imagedata o:title=""/>
                <o:lock v:ext="edit" aspectratio="f"/>
                <v:textbox style="mso-fit-shape-to-text:t;">
                  <w:txbxContent>
                    <w:p>
                      <w:pPr>
                        <w:spacing w:line="560" w:lineRule="exact"/>
                        <w:rPr>
                          <w:rFonts w:hint="eastAsia" w:ascii="仿宋_GB2312" w:hAnsi="仿宋_GB2312" w:eastAsia="仿宋_GB2312"/>
                        </w:rPr>
                      </w:pPr>
                      <w:r>
                        <w:rPr>
                          <w:rFonts w:hint="eastAsia" w:ascii="仿宋_GB2312" w:hAnsi="仿宋_GB2312" w:eastAsia="仿宋_GB2312"/>
                        </w:rPr>
                        <w:t>附件2</w:t>
                      </w:r>
                    </w:p>
                  </w:txbxContent>
                </v:textbox>
                <w10:wrap type="square"/>
              </v:rect>
            </w:pict>
          </mc:Fallback>
        </mc:AlternateContent>
      </w:r>
      <w:r>
        <w:rPr>
          <w:rFonts w:hint="eastAsia" w:ascii="方正小标宋简体" w:hAnsi="方正小标宋简体" w:eastAsia="方正小标宋简体"/>
          <w:sz w:val="44"/>
        </w:rPr>
        <w:t>广州市荔湾区</w:t>
      </w:r>
      <w:r>
        <w:rPr>
          <w:rFonts w:hint="eastAsia" w:ascii="方正小标宋简体" w:hAnsi="方正小标宋简体" w:eastAsia="方正小标宋简体"/>
          <w:sz w:val="44"/>
          <w:lang w:eastAsia="zh-CN"/>
        </w:rPr>
        <w:t>彩虹街</w:t>
      </w:r>
      <w:r>
        <w:rPr>
          <w:rFonts w:hint="eastAsia" w:ascii="方正小标宋简体" w:hAnsi="方正小标宋简体" w:eastAsia="方正小标宋简体"/>
          <w:sz w:val="44"/>
        </w:rPr>
        <w:t>2017年度行政许可</w:t>
      </w:r>
    </w:p>
    <w:p>
      <w:pPr>
        <w:spacing w:line="560" w:lineRule="exact"/>
        <w:ind w:left="-272" w:leftChars="-85" w:right="-234" w:rightChars="-73"/>
        <w:jc w:val="center"/>
        <w:rPr>
          <w:rFonts w:eastAsia="仿宋_GB2312"/>
        </w:rPr>
      </w:pPr>
      <w:r>
        <w:rPr>
          <w:rFonts w:hint="eastAsia" w:ascii="方正小标宋简体" w:hAnsi="方正小标宋简体" w:eastAsia="方正小标宋简体"/>
          <w:sz w:val="44"/>
        </w:rPr>
        <w:t>实施和监督管理情况报告</w:t>
      </w:r>
    </w:p>
    <w:p>
      <w:pPr>
        <w:spacing w:line="560" w:lineRule="exact"/>
        <w:ind w:left="-272" w:leftChars="-85" w:right="-234" w:rightChars="-73"/>
        <w:jc w:val="center"/>
        <w:rPr>
          <w:rFonts w:eastAsia="仿宋_GB2312"/>
        </w:rPr>
      </w:pPr>
    </w:p>
    <w:p>
      <w:pPr>
        <w:spacing w:line="560" w:lineRule="exact"/>
        <w:rPr>
          <w:rFonts w:eastAsia="仿宋_GB2312"/>
        </w:rPr>
      </w:pPr>
      <w:r>
        <w:rPr>
          <w:rFonts w:eastAsia="仿宋_GB2312"/>
        </w:rPr>
        <w:t>区编办：</w:t>
      </w:r>
    </w:p>
    <w:p>
      <w:pPr>
        <w:spacing w:line="560" w:lineRule="exact"/>
        <w:ind w:firstLine="640" w:firstLineChars="200"/>
        <w:jc w:val="left"/>
        <w:rPr>
          <w:rFonts w:eastAsia="仿宋_GB2312"/>
        </w:rPr>
      </w:pPr>
      <w:r>
        <w:rPr>
          <w:rFonts w:eastAsia="仿宋_GB2312"/>
        </w:rPr>
        <w:t>根据《广州市荔湾区人民政府办公室关于报送行政许可实施和监督管理情况年度报告的通知》</w:t>
      </w:r>
      <w:r>
        <w:rPr>
          <w:rFonts w:hint="eastAsia" w:eastAsia="仿宋_GB2312"/>
        </w:rPr>
        <w:t>（</w:t>
      </w:r>
      <w:r>
        <w:rPr>
          <w:rFonts w:eastAsia="仿宋_GB2312"/>
        </w:rPr>
        <w:t>荔府办〔2016〕4号</w:t>
      </w:r>
      <w:r>
        <w:rPr>
          <w:rFonts w:hint="eastAsia" w:eastAsia="仿宋_GB2312"/>
        </w:rPr>
        <w:t>）</w:t>
      </w:r>
      <w:r>
        <w:rPr>
          <w:rFonts w:eastAsia="仿宋_GB2312"/>
        </w:rPr>
        <w:t>要求，现将我单位2017年行政许可实施和监督管理情况报告如下：</w:t>
      </w:r>
    </w:p>
    <w:p>
      <w:pPr>
        <w:spacing w:line="560" w:lineRule="exact"/>
        <w:ind w:firstLine="630"/>
        <w:rPr>
          <w:rFonts w:eastAsia="黑体"/>
        </w:rPr>
      </w:pPr>
      <w:r>
        <w:rPr>
          <w:rFonts w:eastAsia="黑体"/>
        </w:rPr>
        <w:t>一、基本情况</w:t>
      </w:r>
    </w:p>
    <w:p>
      <w:pPr>
        <w:spacing w:line="540" w:lineRule="exact"/>
        <w:ind w:firstLine="640" w:firstLineChars="200"/>
        <w:rPr>
          <w:rFonts w:ascii="仿宋_GB2312" w:eastAsia="仿宋_GB2312"/>
        </w:rPr>
      </w:pPr>
      <w:r>
        <w:rPr>
          <w:rFonts w:ascii="仿宋_GB2312" w:eastAsia="仿宋_GB2312"/>
        </w:rPr>
        <w:t>201</w:t>
      </w:r>
      <w:r>
        <w:rPr>
          <w:rFonts w:hint="eastAsia" w:ascii="仿宋_GB2312" w:eastAsia="仿宋_GB2312"/>
        </w:rPr>
        <w:t>7</w:t>
      </w:r>
      <w:r>
        <w:rPr>
          <w:rFonts w:ascii="仿宋_GB2312" w:eastAsia="仿宋_GB2312"/>
        </w:rPr>
        <w:t>年，</w:t>
      </w:r>
      <w:r>
        <w:rPr>
          <w:rFonts w:hint="eastAsia" w:ascii="仿宋_GB2312" w:eastAsia="仿宋_GB2312"/>
          <w:sz w:val="32"/>
          <w:szCs w:val="32"/>
        </w:rPr>
        <w:t>彩虹街有行政许可1项：再生育子女审批；</w:t>
      </w:r>
      <w:r>
        <w:rPr>
          <w:rFonts w:hint="eastAsia" w:ascii="仿宋_GB2312" w:eastAsia="仿宋_GB2312"/>
          <w:sz w:val="32"/>
          <w:szCs w:val="32"/>
          <w:lang w:eastAsia="zh-CN"/>
        </w:rPr>
        <w:t>该</w:t>
      </w:r>
      <w:r>
        <w:rPr>
          <w:rFonts w:hint="eastAsia" w:ascii="仿宋_GB2312" w:eastAsia="仿宋_GB2312"/>
          <w:sz w:val="32"/>
          <w:szCs w:val="32"/>
        </w:rPr>
        <w:t>项业务</w:t>
      </w:r>
      <w:r>
        <w:rPr>
          <w:rFonts w:hint="eastAsia" w:ascii="仿宋_GB2312" w:eastAsia="仿宋_GB2312"/>
          <w:sz w:val="32"/>
          <w:szCs w:val="32"/>
          <w:lang w:eastAsia="zh-CN"/>
        </w:rPr>
        <w:t>已经</w:t>
      </w:r>
      <w:r>
        <w:rPr>
          <w:rFonts w:ascii="仿宋_GB2312" w:eastAsia="仿宋_GB2312"/>
        </w:rPr>
        <w:t>纳入《</w:t>
      </w:r>
      <w:r>
        <w:rPr>
          <w:rFonts w:eastAsia="仿宋_GB2312"/>
        </w:rPr>
        <w:t>广州市</w:t>
      </w:r>
      <w:r>
        <w:rPr>
          <w:rFonts w:hint="eastAsia" w:eastAsia="仿宋_GB2312"/>
        </w:rPr>
        <w:t>荔湾区</w:t>
      </w:r>
      <w:r>
        <w:rPr>
          <w:rFonts w:eastAsia="仿宋_GB2312"/>
        </w:rPr>
        <w:t>行政许可事项目录</w:t>
      </w:r>
      <w:r>
        <w:rPr>
          <w:rFonts w:hint="eastAsia" w:ascii="仿宋_GB2312" w:eastAsia="仿宋_GB2312"/>
        </w:rPr>
        <w:t>（2017年版）</w:t>
      </w:r>
      <w:r>
        <w:rPr>
          <w:rFonts w:ascii="仿宋_GB2312" w:eastAsia="仿宋_GB2312"/>
        </w:rPr>
        <w:t>》</w:t>
      </w:r>
      <w:r>
        <w:rPr>
          <w:rFonts w:hint="eastAsia" w:ascii="仿宋_GB2312" w:eastAsia="仿宋_GB2312"/>
          <w:lang w:eastAsia="zh-CN"/>
        </w:rPr>
        <w:t>，</w:t>
      </w:r>
      <w:r>
        <w:rPr>
          <w:rFonts w:hint="eastAsia" w:ascii="仿宋_GB2312" w:eastAsia="仿宋_GB2312"/>
          <w:sz w:val="32"/>
          <w:szCs w:val="32"/>
        </w:rPr>
        <w:t>已经进驻广州市荔湾区网上办事大厅，可进行网上申报。201</w:t>
      </w:r>
      <w:r>
        <w:rPr>
          <w:rFonts w:hint="eastAsia" w:ascii="仿宋_GB2312" w:eastAsia="仿宋_GB2312"/>
          <w:sz w:val="32"/>
          <w:szCs w:val="32"/>
          <w:lang w:val="en-US" w:eastAsia="zh-CN"/>
        </w:rPr>
        <w:t>7</w:t>
      </w:r>
      <w:r>
        <w:rPr>
          <w:rFonts w:hint="eastAsia" w:ascii="仿宋_GB2312" w:eastAsia="仿宋_GB2312"/>
          <w:sz w:val="32"/>
          <w:szCs w:val="32"/>
        </w:rPr>
        <w:t>年度，再生育子女审批业务共受理</w:t>
      </w:r>
      <w:r>
        <w:rPr>
          <w:rFonts w:hint="eastAsia" w:ascii="仿宋_GB2312" w:eastAsia="仿宋_GB2312"/>
          <w:sz w:val="32"/>
          <w:szCs w:val="32"/>
          <w:lang w:val="en-US" w:eastAsia="zh-CN"/>
        </w:rPr>
        <w:t>3件</w:t>
      </w:r>
      <w:r>
        <w:rPr>
          <w:rFonts w:hint="eastAsia" w:ascii="仿宋_GB2312" w:eastAsia="仿宋_GB2312"/>
          <w:sz w:val="32"/>
          <w:szCs w:val="32"/>
        </w:rPr>
        <w:t>，</w:t>
      </w:r>
      <w:r>
        <w:rPr>
          <w:rFonts w:hint="eastAsia" w:ascii="仿宋_GB2312" w:eastAsia="仿宋_GB2312"/>
          <w:sz w:val="32"/>
          <w:szCs w:val="32"/>
          <w:lang w:eastAsia="zh-CN"/>
        </w:rPr>
        <w:t>审批同意</w:t>
      </w:r>
      <w:r>
        <w:rPr>
          <w:rFonts w:hint="eastAsia" w:ascii="仿宋_GB2312" w:eastAsia="仿宋_GB2312"/>
          <w:sz w:val="32"/>
          <w:szCs w:val="32"/>
          <w:lang w:val="en-US" w:eastAsia="zh-CN"/>
        </w:rPr>
        <w:t>3件，</w:t>
      </w:r>
      <w:r>
        <w:rPr>
          <w:rFonts w:hint="eastAsia" w:ascii="仿宋_GB2312" w:eastAsia="仿宋_GB2312"/>
          <w:sz w:val="32"/>
          <w:szCs w:val="32"/>
        </w:rPr>
        <w:t>全部办结</w:t>
      </w:r>
      <w:r>
        <w:rPr>
          <w:rFonts w:hint="eastAsia" w:ascii="仿宋_GB2312" w:eastAsia="仿宋_GB2312"/>
          <w:sz w:val="32"/>
          <w:szCs w:val="32"/>
          <w:lang w:eastAsia="zh-CN"/>
        </w:rPr>
        <w:t>。</w:t>
      </w:r>
    </w:p>
    <w:p>
      <w:pPr>
        <w:spacing w:line="560" w:lineRule="exact"/>
        <w:ind w:firstLine="630"/>
        <w:rPr>
          <w:rFonts w:hint="eastAsia" w:ascii="仿宋_GB2312" w:eastAsia="仿宋_GB2312"/>
          <w:sz w:val="32"/>
          <w:szCs w:val="32"/>
        </w:rPr>
      </w:pPr>
      <w:r>
        <w:rPr>
          <w:rFonts w:eastAsia="楷体"/>
        </w:rPr>
        <w:t>（一）依法实施情况。</w:t>
      </w:r>
      <w:r>
        <w:rPr>
          <w:rFonts w:hint="eastAsia" w:ascii="仿宋_GB2312" w:eastAsia="仿宋_GB2312"/>
          <w:sz w:val="32"/>
          <w:szCs w:val="32"/>
        </w:rPr>
        <w:t>彩虹街按照相关行政审批权限，依法依规开展行政审批工作，严格遵守审批权限、程序、环节、条件等。按照法治政府和服务型政府建设要求，全面梳理街道职责和权力事项，进一步理顺职责关系，形成现有的职权目录，并按照法定程序和内部操作流程，编制相关的行政审批流程图，进一步提升依法行政能力和服务效能。</w:t>
      </w:r>
    </w:p>
    <w:p>
      <w:pPr>
        <w:spacing w:line="560" w:lineRule="exact"/>
        <w:ind w:firstLine="630"/>
        <w:rPr>
          <w:rFonts w:eastAsia="仿宋_GB2312"/>
        </w:rPr>
      </w:pPr>
      <w:r>
        <w:rPr>
          <w:rFonts w:eastAsia="楷体"/>
        </w:rPr>
        <w:t>（</w:t>
      </w:r>
      <w:r>
        <w:rPr>
          <w:rFonts w:hint="eastAsia" w:eastAsia="楷体"/>
        </w:rPr>
        <w:t>二</w:t>
      </w:r>
      <w:r>
        <w:rPr>
          <w:rFonts w:eastAsia="楷体"/>
        </w:rPr>
        <w:t>）公开公示情况。</w:t>
      </w:r>
      <w:r>
        <w:rPr>
          <w:rFonts w:hint="eastAsia" w:ascii="仿宋_GB2312" w:hAnsi="仿宋_GB2312" w:eastAsia="仿宋_GB2312" w:cs="仿宋_GB2312"/>
          <w:sz w:val="32"/>
          <w:szCs w:val="32"/>
        </w:rPr>
        <w:t>我街在办事大厅通过宣传栏、电子屏幕及荔湾区信息网公开公示了各事项的实施主体、依据、程序、条件、期限、裁量标准、申请材料及办法、收费标准、申请书格式文本、咨询投诉方式等信息，</w:t>
      </w:r>
      <w:r>
        <w:rPr>
          <w:rFonts w:hint="eastAsia" w:ascii="仿宋_GB2312" w:eastAsia="仿宋_GB2312"/>
          <w:sz w:val="32"/>
          <w:szCs w:val="32"/>
        </w:rPr>
        <w:t>向社会公开行政许可实施过程和结果的情况。</w:t>
      </w:r>
      <w:r>
        <w:rPr>
          <w:rFonts w:hint="eastAsia" w:ascii="仿宋_GB2312" w:hAnsi="仿宋_GB2312" w:eastAsia="仿宋_GB2312" w:cs="仿宋_GB2312"/>
          <w:sz w:val="32"/>
          <w:szCs w:val="32"/>
        </w:rPr>
        <w:t>并按照区政务办统一要求，开通了网上办事大厅业务，所有业务均实现网上公开。</w:t>
      </w:r>
    </w:p>
    <w:p>
      <w:pPr>
        <w:spacing w:line="560" w:lineRule="exact"/>
        <w:ind w:firstLine="630"/>
        <w:rPr>
          <w:rFonts w:ascii="仿宋_GB2312" w:eastAsia="仿宋_GB2312"/>
          <w:sz w:val="32"/>
          <w:szCs w:val="32"/>
        </w:rPr>
      </w:pPr>
      <w:r>
        <w:rPr>
          <w:rFonts w:eastAsia="楷体"/>
        </w:rPr>
        <w:t>（</w:t>
      </w:r>
      <w:r>
        <w:rPr>
          <w:rFonts w:hint="eastAsia" w:eastAsia="楷体"/>
        </w:rPr>
        <w:t>三</w:t>
      </w:r>
      <w:r>
        <w:rPr>
          <w:rFonts w:eastAsia="楷体"/>
        </w:rPr>
        <w:t>）推行标准化情况。</w:t>
      </w:r>
      <w:r>
        <w:rPr>
          <w:rFonts w:hint="eastAsia" w:ascii="仿宋_GB2312" w:eastAsia="仿宋_GB2312"/>
          <w:sz w:val="32"/>
          <w:szCs w:val="32"/>
        </w:rPr>
        <w:t>彩虹街</w:t>
      </w:r>
      <w:r>
        <w:rPr>
          <w:rFonts w:ascii="仿宋_GB2312" w:eastAsia="仿宋_GB2312"/>
          <w:sz w:val="32"/>
          <w:szCs w:val="32"/>
        </w:rPr>
        <w:t>按照要求编制印发《业务手册》和《办事指南》</w:t>
      </w:r>
      <w:r>
        <w:rPr>
          <w:rFonts w:hint="eastAsia" w:ascii="仿宋_GB2312" w:eastAsia="仿宋_GB2312"/>
          <w:sz w:val="32"/>
          <w:szCs w:val="32"/>
        </w:rPr>
        <w:t>，</w:t>
      </w:r>
      <w:r>
        <w:rPr>
          <w:rFonts w:ascii="仿宋_GB2312" w:eastAsia="仿宋_GB2312"/>
          <w:sz w:val="32"/>
          <w:szCs w:val="32"/>
        </w:rPr>
        <w:t>组织</w:t>
      </w:r>
      <w:r>
        <w:rPr>
          <w:rFonts w:hint="eastAsia" w:ascii="仿宋_GB2312" w:eastAsia="仿宋_GB2312"/>
          <w:sz w:val="32"/>
          <w:szCs w:val="32"/>
        </w:rPr>
        <w:t>政务</w:t>
      </w:r>
      <w:r>
        <w:rPr>
          <w:rFonts w:ascii="仿宋_GB2312" w:eastAsia="仿宋_GB2312"/>
          <w:sz w:val="32"/>
          <w:szCs w:val="32"/>
        </w:rPr>
        <w:t>中心工作人员</w:t>
      </w:r>
      <w:r>
        <w:rPr>
          <w:rFonts w:hint="eastAsia" w:ascii="仿宋_GB2312" w:eastAsia="仿宋_GB2312"/>
          <w:sz w:val="32"/>
          <w:szCs w:val="32"/>
        </w:rPr>
        <w:t>进行</w:t>
      </w:r>
      <w:r>
        <w:rPr>
          <w:rFonts w:ascii="仿宋_GB2312" w:eastAsia="仿宋_GB2312"/>
          <w:sz w:val="32"/>
          <w:szCs w:val="32"/>
        </w:rPr>
        <w:t>学习；</w:t>
      </w:r>
      <w:r>
        <w:rPr>
          <w:rFonts w:hint="eastAsia" w:ascii="仿宋_GB2312" w:eastAsia="仿宋_GB2312"/>
          <w:sz w:val="32"/>
          <w:szCs w:val="32"/>
        </w:rPr>
        <w:t>对</w:t>
      </w:r>
      <w:r>
        <w:rPr>
          <w:rFonts w:ascii="仿宋_GB2312" w:eastAsia="仿宋_GB2312"/>
          <w:sz w:val="32"/>
          <w:szCs w:val="32"/>
        </w:rPr>
        <w:t>办理事项的名称、实施依据、申请条件、申请材料、办理时限、受理范围等</w:t>
      </w:r>
      <w:r>
        <w:rPr>
          <w:rFonts w:hint="eastAsia" w:ascii="仿宋_GB2312" w:eastAsia="仿宋_GB2312"/>
          <w:sz w:val="32"/>
          <w:szCs w:val="32"/>
        </w:rPr>
        <w:t>在</w:t>
      </w:r>
      <w:r>
        <w:rPr>
          <w:rFonts w:ascii="仿宋_GB2312" w:eastAsia="仿宋_GB2312"/>
          <w:sz w:val="32"/>
          <w:szCs w:val="32"/>
        </w:rPr>
        <w:t>政务中心公示；</w:t>
      </w:r>
      <w:r>
        <w:rPr>
          <w:rFonts w:hint="eastAsia" w:ascii="仿宋_GB2312" w:eastAsia="仿宋_GB2312"/>
          <w:sz w:val="32"/>
          <w:szCs w:val="32"/>
        </w:rPr>
        <w:t>按照</w:t>
      </w:r>
      <w:r>
        <w:rPr>
          <w:rFonts w:ascii="仿宋_GB2312" w:eastAsia="仿宋_GB2312"/>
          <w:sz w:val="32"/>
          <w:szCs w:val="32"/>
        </w:rPr>
        <w:t>要求对行政许可中介服务</w:t>
      </w:r>
      <w:r>
        <w:rPr>
          <w:rFonts w:hint="eastAsia" w:ascii="仿宋_GB2312" w:eastAsia="仿宋_GB2312"/>
          <w:sz w:val="32"/>
          <w:szCs w:val="32"/>
        </w:rPr>
        <w:t>进行</w:t>
      </w:r>
      <w:r>
        <w:rPr>
          <w:rFonts w:ascii="仿宋_GB2312" w:eastAsia="仿宋_GB2312"/>
          <w:sz w:val="32"/>
          <w:szCs w:val="32"/>
        </w:rPr>
        <w:t>清理规范</w:t>
      </w:r>
      <w:r>
        <w:rPr>
          <w:rFonts w:hint="eastAsia" w:ascii="仿宋_GB2312" w:eastAsia="仿宋_GB2312"/>
          <w:sz w:val="32"/>
          <w:szCs w:val="32"/>
        </w:rPr>
        <w:t>，无</w:t>
      </w:r>
      <w:r>
        <w:rPr>
          <w:rFonts w:ascii="仿宋_GB2312" w:eastAsia="仿宋_GB2312"/>
          <w:sz w:val="32"/>
          <w:szCs w:val="32"/>
        </w:rPr>
        <w:t>发生违规情况。</w:t>
      </w:r>
    </w:p>
    <w:p>
      <w:pPr>
        <w:spacing w:line="560" w:lineRule="exact"/>
        <w:ind w:firstLine="640" w:firstLineChars="200"/>
        <w:rPr>
          <w:rFonts w:hint="eastAsia" w:ascii="仿宋_GB2312" w:eastAsia="仿宋_GB2312"/>
          <w:sz w:val="32"/>
          <w:szCs w:val="32"/>
        </w:rPr>
      </w:pPr>
      <w:r>
        <w:rPr>
          <w:rFonts w:eastAsia="楷体"/>
        </w:rPr>
        <w:t>（</w:t>
      </w:r>
      <w:r>
        <w:rPr>
          <w:rFonts w:hint="eastAsia" w:eastAsia="楷体"/>
        </w:rPr>
        <w:t>四</w:t>
      </w:r>
      <w:r>
        <w:rPr>
          <w:rFonts w:eastAsia="楷体"/>
        </w:rPr>
        <w:t>）创新方式情况。</w:t>
      </w:r>
      <w:r>
        <w:rPr>
          <w:rFonts w:hint="eastAsia" w:ascii="仿宋_GB2312" w:eastAsia="仿宋_GB2312"/>
          <w:sz w:val="32"/>
          <w:szCs w:val="32"/>
        </w:rPr>
        <w:t>为了进一步提高服务效率，将受理窗口重新分类排列，把涉及业务联系较多的窗口集中分布，形成流动人员和出租屋服务、人口和计划生育服务、劳动和社会保障服务、民政事务服务、城市管理服务、工商事务服务等服务区，便于办事群众咨询和办理业务。</w:t>
      </w:r>
    </w:p>
    <w:p>
      <w:pPr>
        <w:spacing w:line="560" w:lineRule="exact"/>
        <w:ind w:firstLine="630"/>
        <w:rPr>
          <w:rFonts w:ascii="仿宋_GB2312" w:eastAsia="仿宋_GB2312"/>
          <w:sz w:val="32"/>
          <w:szCs w:val="32"/>
        </w:rPr>
      </w:pPr>
      <w:r>
        <w:rPr>
          <w:rFonts w:eastAsia="楷体"/>
        </w:rPr>
        <w:t>（</w:t>
      </w:r>
      <w:r>
        <w:rPr>
          <w:rFonts w:hint="eastAsia" w:eastAsia="楷体"/>
        </w:rPr>
        <w:t>五</w:t>
      </w:r>
      <w:r>
        <w:rPr>
          <w:rFonts w:eastAsia="楷体"/>
        </w:rPr>
        <w:t>）监督管理情况。</w:t>
      </w:r>
      <w:r>
        <w:rPr>
          <w:rFonts w:hint="eastAsia" w:ascii="仿宋_GB2312" w:hAnsi="仿宋_GB2312" w:eastAsia="仿宋_GB2312" w:cs="仿宋_GB2312"/>
          <w:sz w:val="32"/>
          <w:szCs w:val="32"/>
        </w:rPr>
        <w:t>我街制定了工作人员行为规范，对办证工作人员的服务态度、服务标准和服务质量进行规范要求，对从事行政许可事项活动实行全面监督。通过监督电话，方便群众实时监督;设置了办事意见箱，方便群众咨询和提出意见。我们将行政审批列入行风评议工作，落实监督管理。确保办证审批人员依法办证，廉洁办证、高效办证。自觉接受群众监督，促进工作人员服务态度、工作作风的持续优化好转。</w:t>
      </w:r>
    </w:p>
    <w:p>
      <w:pPr>
        <w:spacing w:line="560" w:lineRule="exact"/>
        <w:ind w:firstLine="630"/>
        <w:rPr>
          <w:rFonts w:ascii="仿宋_GB2312" w:eastAsia="仿宋_GB2312"/>
          <w:sz w:val="32"/>
          <w:szCs w:val="32"/>
        </w:rPr>
      </w:pPr>
      <w:r>
        <w:rPr>
          <w:rFonts w:eastAsia="楷体"/>
        </w:rPr>
        <w:t>（</w:t>
      </w:r>
      <w:r>
        <w:rPr>
          <w:rFonts w:hint="eastAsia" w:eastAsia="楷体"/>
        </w:rPr>
        <w:t>六</w:t>
      </w:r>
      <w:r>
        <w:rPr>
          <w:rFonts w:eastAsia="楷体"/>
        </w:rPr>
        <w:t>）实施效果情况。</w:t>
      </w:r>
      <w:r>
        <w:rPr>
          <w:rFonts w:hint="eastAsia" w:ascii="仿宋_GB2312" w:eastAsia="仿宋_GB2312"/>
          <w:sz w:val="32"/>
          <w:szCs w:val="32"/>
        </w:rPr>
        <w:t>彩虹街认真落实区政务改革有关要求，营造高效优质的政务服务环境，树立良好服务品牌，确保工作人员讲规矩、守纪律，有责任感和责任心，业务娴熟，得到企业和群众的认可。</w:t>
      </w:r>
    </w:p>
    <w:p>
      <w:pPr>
        <w:spacing w:line="560" w:lineRule="exact"/>
        <w:ind w:firstLine="630"/>
        <w:rPr>
          <w:rFonts w:eastAsia="黑体"/>
        </w:rPr>
      </w:pPr>
      <w:r>
        <w:rPr>
          <w:rFonts w:eastAsia="黑体"/>
        </w:rPr>
        <w:t>二、存在问题和困难</w:t>
      </w:r>
    </w:p>
    <w:p>
      <w:pPr>
        <w:spacing w:line="560" w:lineRule="exact"/>
        <w:ind w:firstLine="630"/>
        <w:rPr>
          <w:rFonts w:ascii="仿宋_GB2312" w:eastAsia="仿宋_GB2312"/>
          <w:sz w:val="32"/>
          <w:szCs w:val="32"/>
        </w:rPr>
      </w:pPr>
      <w:r>
        <w:rPr>
          <w:rFonts w:hint="eastAsia" w:ascii="仿宋_GB2312" w:eastAsia="仿宋_GB2312"/>
          <w:sz w:val="32"/>
          <w:szCs w:val="32"/>
        </w:rPr>
        <w:t>暂无</w:t>
      </w:r>
    </w:p>
    <w:p>
      <w:pPr>
        <w:spacing w:line="560" w:lineRule="exact"/>
        <w:ind w:firstLine="630"/>
        <w:rPr>
          <w:rFonts w:eastAsia="黑体"/>
        </w:rPr>
      </w:pPr>
      <w:r>
        <w:rPr>
          <w:rFonts w:eastAsia="黑体"/>
        </w:rPr>
        <w:t>三、下一步工作措施及有关建议</w:t>
      </w:r>
    </w:p>
    <w:p>
      <w:pPr>
        <w:ind w:firstLine="640"/>
        <w:rPr>
          <w:rFonts w:hint="eastAsia" w:ascii="仿宋_GB2312" w:eastAsia="仿宋_GB2312"/>
          <w:sz w:val="32"/>
          <w:szCs w:val="32"/>
        </w:rPr>
      </w:pPr>
      <w:r>
        <w:rPr>
          <w:rFonts w:hint="eastAsia" w:ascii="仿宋_GB2312" w:eastAsia="仿宋_GB2312"/>
          <w:sz w:val="32"/>
          <w:szCs w:val="32"/>
        </w:rPr>
        <w:t>彩虹街道办事处将继续</w:t>
      </w:r>
      <w:r>
        <w:rPr>
          <w:rFonts w:hint="eastAsia" w:ascii="仿宋" w:hAnsi="仿宋" w:eastAsia="仿宋"/>
          <w:sz w:val="32"/>
          <w:szCs w:val="32"/>
        </w:rPr>
        <w:t>认真履行职责，明确和强化责任，以提高政务服务效能为己任，</w:t>
      </w:r>
      <w:r>
        <w:rPr>
          <w:rFonts w:hint="eastAsia" w:ascii="仿宋_GB2312" w:eastAsia="仿宋_GB2312"/>
          <w:sz w:val="32"/>
          <w:szCs w:val="32"/>
        </w:rPr>
        <w:t>进一步改进履职方式，为推动依法行政、建设高效法治的政府贡献力量。</w:t>
      </w:r>
    </w:p>
    <w:p>
      <w:pPr>
        <w:ind w:firstLine="640"/>
        <w:rPr>
          <w:rFonts w:hint="eastAsia" w:ascii="仿宋_GB2312" w:eastAsia="仿宋_GB2312"/>
          <w:sz w:val="32"/>
          <w:szCs w:val="32"/>
        </w:rPr>
      </w:pPr>
    </w:p>
    <w:p>
      <w:pPr>
        <w:spacing w:line="560" w:lineRule="exact"/>
        <w:ind w:firstLine="630"/>
        <w:jc w:val="both"/>
        <w:rPr>
          <w:rFonts w:hint="eastAsia" w:ascii="仿宋_GB2312" w:eastAsia="仿宋_GB2312"/>
          <w:sz w:val="32"/>
          <w:szCs w:val="32"/>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广州市荔湾区人民政府彩虹街道办事处</w:t>
      </w:r>
    </w:p>
    <w:p>
      <w:pPr>
        <w:ind w:firstLine="64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201</w:t>
      </w:r>
      <w:r>
        <w:rPr>
          <w:rFonts w:hint="eastAsia" w:ascii="仿宋_GB2312" w:eastAsia="仿宋_GB2312"/>
          <w:sz w:val="32"/>
          <w:szCs w:val="32"/>
          <w:lang w:val="en-US" w:eastAsia="zh-CN"/>
        </w:rPr>
        <w:t>8</w:t>
      </w:r>
      <w:r>
        <w:rPr>
          <w:rFonts w:hint="eastAsia" w:ascii="仿宋_GB2312" w:eastAsia="仿宋_GB2312"/>
          <w:sz w:val="32"/>
          <w:szCs w:val="32"/>
        </w:rPr>
        <w:t xml:space="preserve">年3月28日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创艺简仿宋">
    <w:altName w:val="宋体"/>
    <w:panose1 w:val="0203060900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69A7B7E"/>
    <w:rsid w:val="492E7773"/>
    <w:rsid w:val="70C443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创艺简仿宋"/>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创艺简仿宋"/>
      <w:snapToGrid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创艺简仿宋"/>
      <w:snapToGrid w:val="0"/>
      <w:sz w:val="18"/>
      <w:szCs w:val="18"/>
    </w:rPr>
  </w:style>
  <w:style w:type="paragraph" w:customStyle="1" w:styleId="6">
    <w:name w:val="样式1"/>
    <w:basedOn w:val="1"/>
    <w:uiPriority w:val="0"/>
    <w:rPr>
      <w:rFonts w:eastAsia="楷体" w:asciiTheme="minorAscii" w:hAnsiTheme="minorAscii"/>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BDEB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彩虹街党政办_叶伟婷</dc:creator>
  <cp:lastModifiedBy>Jacky</cp:lastModifiedBy>
  <cp:lastPrinted>2018-03-28T07:44:08Z</cp:lastPrinted>
  <dcterms:modified xsi:type="dcterms:W3CDTF">2018-03-28T07:50:08Z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