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17F8D">
      <w:pPr>
        <w:rPr>
          <w:rFonts w:ascii="黑体" w:hAnsi="黑体" w:eastAsia="黑体"/>
          <w:color w:val="auto"/>
          <w:sz w:val="32"/>
          <w:szCs w:val="32"/>
          <w:highlight w:val="none"/>
        </w:rPr>
      </w:pPr>
      <w:bookmarkStart w:id="0" w:name="_GoBack"/>
      <w:bookmarkEnd w:id="0"/>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4-1</w:t>
      </w:r>
      <w:r>
        <w:rPr>
          <w:rFonts w:ascii="黑体" w:hAnsi="黑体" w:eastAsia="黑体"/>
          <w:color w:val="auto"/>
          <w:sz w:val="32"/>
          <w:szCs w:val="32"/>
          <w:highlight w:val="none"/>
        </w:rPr>
        <w:t xml:space="preserve"> </w:t>
      </w:r>
    </w:p>
    <w:p w14:paraId="4FC3E82C">
      <w:pPr>
        <w:jc w:val="center"/>
        <w:rPr>
          <w:rFonts w:hint="eastAsia"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lang w:eastAsia="zh-CN"/>
        </w:rPr>
        <w:t>广州市</w:t>
      </w:r>
      <w:r>
        <w:rPr>
          <w:rFonts w:hint="eastAsia" w:ascii="方正小标宋简体" w:eastAsia="方正小标宋简体"/>
          <w:b/>
          <w:color w:val="auto"/>
          <w:sz w:val="44"/>
          <w:szCs w:val="44"/>
          <w:highlight w:val="none"/>
        </w:rPr>
        <w:t>公益性岗位拟聘用人员公示名单</w:t>
      </w:r>
    </w:p>
    <w:p w14:paraId="507FC402">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用人单位（盖章）</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lang w:eastAsia="zh-CN"/>
        </w:rPr>
        <w:t>广州市荔湾区金花街道党群服务中心</w:t>
      </w:r>
      <w:r>
        <w:rPr>
          <w:rFonts w:hint="eastAsia" w:ascii="仿宋_GB2312" w:eastAsia="仿宋_GB2312"/>
          <w:color w:val="auto"/>
          <w:sz w:val="28"/>
          <w:szCs w:val="28"/>
          <w:highlight w:val="none"/>
        </w:rPr>
        <w:t xml:space="preserve">    公示时间：</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w:t>
      </w:r>
    </w:p>
    <w:p w14:paraId="214284E4">
      <w:pPr>
        <w:rPr>
          <w:rFonts w:hint="eastAsia" w:ascii="仿宋_GB2312" w:eastAsia="仿宋_GB2312"/>
          <w:color w:val="auto"/>
          <w:sz w:val="28"/>
          <w:szCs w:val="28"/>
          <w:highlight w:val="none"/>
        </w:rPr>
      </w:pPr>
    </w:p>
    <w:tbl>
      <w:tblPr>
        <w:tblStyle w:val="5"/>
        <w:tblW w:w="14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090"/>
        <w:gridCol w:w="2832"/>
        <w:gridCol w:w="1083"/>
        <w:gridCol w:w="1351"/>
        <w:gridCol w:w="1666"/>
        <w:gridCol w:w="976"/>
        <w:gridCol w:w="1208"/>
        <w:gridCol w:w="1216"/>
        <w:gridCol w:w="1284"/>
        <w:gridCol w:w="1620"/>
      </w:tblGrid>
      <w:tr w14:paraId="2787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47" w:type="dxa"/>
          </w:tcPr>
          <w:p w14:paraId="0BA4C1A7">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序号</w:t>
            </w:r>
          </w:p>
        </w:tc>
        <w:tc>
          <w:tcPr>
            <w:tcW w:w="1090" w:type="dxa"/>
          </w:tcPr>
          <w:p w14:paraId="07A0729C">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姓名</w:t>
            </w:r>
          </w:p>
        </w:tc>
        <w:tc>
          <w:tcPr>
            <w:tcW w:w="2832" w:type="dxa"/>
          </w:tcPr>
          <w:p w14:paraId="663DFC54">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身份证</w:t>
            </w:r>
            <w:r>
              <w:rPr>
                <w:rFonts w:hint="default"/>
                <w:color w:val="auto"/>
                <w:sz w:val="24"/>
                <w:szCs w:val="24"/>
                <w:highlight w:val="none"/>
              </w:rPr>
              <w:t>号码</w:t>
            </w:r>
          </w:p>
          <w:p w14:paraId="28C24435">
            <w:pPr>
              <w:keepNext w:val="0"/>
              <w:keepLines w:val="0"/>
              <w:suppressLineNumbers w:val="0"/>
              <w:adjustRightInd w:val="0"/>
              <w:snapToGrid w:val="0"/>
              <w:spacing w:before="0" w:beforeAutospacing="0" w:after="0" w:afterAutospacing="0"/>
              <w:ind w:left="0" w:right="0"/>
              <w:jc w:val="center"/>
              <w:rPr>
                <w:rFonts w:hint="eastAsia" w:eastAsiaTheme="minorEastAsia"/>
                <w:color w:val="auto"/>
                <w:sz w:val="24"/>
                <w:szCs w:val="24"/>
                <w:highlight w:val="none"/>
                <w:lang w:eastAsia="zh-CN"/>
              </w:rPr>
            </w:pPr>
            <w:r>
              <w:rPr>
                <w:rFonts w:hint="eastAsia"/>
                <w:color w:val="auto"/>
                <w:sz w:val="24"/>
                <w:szCs w:val="24"/>
                <w:highlight w:val="none"/>
                <w:lang w:eastAsia="zh-CN"/>
              </w:rPr>
              <w:t>（隐藏位数显示，隐私保护）</w:t>
            </w:r>
          </w:p>
        </w:tc>
        <w:tc>
          <w:tcPr>
            <w:tcW w:w="1083" w:type="dxa"/>
          </w:tcPr>
          <w:p w14:paraId="2B8AC18F">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户口</w:t>
            </w:r>
          </w:p>
          <w:p w14:paraId="30B154A0">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default"/>
                <w:color w:val="auto"/>
                <w:sz w:val="24"/>
                <w:szCs w:val="24"/>
                <w:highlight w:val="none"/>
              </w:rPr>
              <w:t>所在地</w:t>
            </w:r>
          </w:p>
        </w:tc>
        <w:tc>
          <w:tcPr>
            <w:tcW w:w="1351" w:type="dxa"/>
          </w:tcPr>
          <w:p w14:paraId="0017280B">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是否</w:t>
            </w:r>
            <w:r>
              <w:rPr>
                <w:rFonts w:hint="default"/>
                <w:color w:val="auto"/>
                <w:sz w:val="24"/>
                <w:szCs w:val="24"/>
                <w:highlight w:val="none"/>
              </w:rPr>
              <w:t>就业困难人员</w:t>
            </w:r>
          </w:p>
        </w:tc>
        <w:tc>
          <w:tcPr>
            <w:tcW w:w="1666" w:type="dxa"/>
          </w:tcPr>
          <w:p w14:paraId="239ECB7F">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就业</w:t>
            </w:r>
            <w:r>
              <w:rPr>
                <w:rFonts w:hint="default"/>
                <w:color w:val="auto"/>
                <w:sz w:val="24"/>
                <w:szCs w:val="24"/>
                <w:highlight w:val="none"/>
              </w:rPr>
              <w:t>困难人员</w:t>
            </w:r>
            <w:r>
              <w:rPr>
                <w:rFonts w:hint="eastAsia"/>
                <w:color w:val="auto"/>
                <w:sz w:val="24"/>
                <w:szCs w:val="24"/>
                <w:highlight w:val="none"/>
              </w:rPr>
              <w:t>类别</w:t>
            </w:r>
          </w:p>
        </w:tc>
        <w:tc>
          <w:tcPr>
            <w:tcW w:w="976" w:type="dxa"/>
          </w:tcPr>
          <w:p w14:paraId="29711A52">
            <w:pPr>
              <w:keepNext w:val="0"/>
              <w:keepLines w:val="0"/>
              <w:suppressLineNumbers w:val="0"/>
              <w:adjustRightInd w:val="0"/>
              <w:snapToGrid w:val="0"/>
              <w:spacing w:before="0" w:beforeAutospacing="0" w:after="0" w:afterAutospacing="0"/>
              <w:ind w:left="0" w:right="0"/>
              <w:jc w:val="center"/>
              <w:rPr>
                <w:rFonts w:hint="eastAsia"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是否</w:t>
            </w:r>
            <w:r>
              <w:rPr>
                <w:rFonts w:hint="eastAsia" w:asciiTheme="minorEastAsia" w:hAnsiTheme="minorEastAsia" w:eastAsiaTheme="minorEastAsia" w:cstheme="minorEastAsia"/>
                <w:color w:val="auto"/>
                <w:sz w:val="24"/>
                <w:szCs w:val="24"/>
                <w:highlight w:val="none"/>
                <w:lang w:eastAsia="zh-CN"/>
              </w:rPr>
              <w:t>本省脱贫人口</w:t>
            </w:r>
          </w:p>
        </w:tc>
        <w:tc>
          <w:tcPr>
            <w:tcW w:w="1208" w:type="dxa"/>
          </w:tcPr>
          <w:p w14:paraId="3F128F4A">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已享受</w:t>
            </w:r>
            <w:r>
              <w:rPr>
                <w:rFonts w:hint="default"/>
                <w:color w:val="auto"/>
                <w:sz w:val="24"/>
                <w:szCs w:val="24"/>
                <w:highlight w:val="none"/>
              </w:rPr>
              <w:t>公益性岗位补贴期</w:t>
            </w:r>
          </w:p>
        </w:tc>
        <w:tc>
          <w:tcPr>
            <w:tcW w:w="1216" w:type="dxa"/>
          </w:tcPr>
          <w:p w14:paraId="129BB7BA">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拟聘用公益性</w:t>
            </w:r>
            <w:r>
              <w:rPr>
                <w:rFonts w:hint="default"/>
                <w:color w:val="auto"/>
                <w:sz w:val="24"/>
                <w:szCs w:val="24"/>
                <w:highlight w:val="none"/>
              </w:rPr>
              <w:t>岗位种类</w:t>
            </w:r>
          </w:p>
        </w:tc>
        <w:tc>
          <w:tcPr>
            <w:tcW w:w="1284" w:type="dxa"/>
          </w:tcPr>
          <w:p w14:paraId="7A5B78E8">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拟聘用公益性</w:t>
            </w:r>
            <w:r>
              <w:rPr>
                <w:rFonts w:hint="default"/>
                <w:color w:val="auto"/>
                <w:sz w:val="24"/>
                <w:szCs w:val="24"/>
                <w:highlight w:val="none"/>
              </w:rPr>
              <w:t>岗位名称</w:t>
            </w:r>
          </w:p>
        </w:tc>
        <w:tc>
          <w:tcPr>
            <w:tcW w:w="1620" w:type="dxa"/>
          </w:tcPr>
          <w:p w14:paraId="36091B9B">
            <w:pPr>
              <w:keepNext w:val="0"/>
              <w:keepLines w:val="0"/>
              <w:suppressLineNumbers w:val="0"/>
              <w:adjustRightInd w:val="0"/>
              <w:snapToGrid w:val="0"/>
              <w:spacing w:before="0" w:beforeAutospacing="0" w:after="0" w:afterAutospacing="0"/>
              <w:ind w:left="0" w:right="0"/>
              <w:jc w:val="center"/>
              <w:rPr>
                <w:rFonts w:hint="default" w:eastAsiaTheme="minorEastAsia"/>
                <w:color w:val="auto"/>
                <w:sz w:val="24"/>
                <w:szCs w:val="24"/>
                <w:highlight w:val="none"/>
                <w:lang w:val="en-US" w:eastAsia="zh-CN"/>
              </w:rPr>
            </w:pPr>
            <w:r>
              <w:rPr>
                <w:rFonts w:hint="eastAsia"/>
                <w:color w:val="auto"/>
                <w:sz w:val="24"/>
                <w:szCs w:val="24"/>
                <w:highlight w:val="none"/>
                <w:lang w:eastAsia="zh-CN"/>
              </w:rPr>
              <w:t>拟聘用期限</w:t>
            </w:r>
            <w:r>
              <w:rPr>
                <w:rFonts w:hint="eastAsia"/>
                <w:color w:val="auto"/>
                <w:sz w:val="24"/>
                <w:szCs w:val="24"/>
                <w:highlight w:val="none"/>
                <w:lang w:val="en-US" w:eastAsia="zh-CN"/>
              </w:rPr>
              <w:t>(</w:t>
            </w:r>
            <w:r>
              <w:rPr>
                <w:rFonts w:hint="eastAsia"/>
                <w:color w:val="auto"/>
                <w:sz w:val="24"/>
                <w:szCs w:val="24"/>
                <w:highlight w:val="none"/>
                <w:lang w:eastAsia="zh-CN"/>
              </w:rPr>
              <w:t>起始和终止日期</w:t>
            </w:r>
            <w:r>
              <w:rPr>
                <w:rFonts w:hint="eastAsia"/>
                <w:color w:val="auto"/>
                <w:sz w:val="24"/>
                <w:szCs w:val="24"/>
                <w:highlight w:val="none"/>
                <w:lang w:val="en-US" w:eastAsia="zh-CN"/>
              </w:rPr>
              <w:t>)</w:t>
            </w:r>
          </w:p>
        </w:tc>
      </w:tr>
      <w:tr w14:paraId="5546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547" w:type="dxa"/>
            <w:vAlign w:val="center"/>
          </w:tcPr>
          <w:p w14:paraId="7BF47BAE">
            <w:pPr>
              <w:keepNext w:val="0"/>
              <w:keepLines w:val="0"/>
              <w:suppressLineNumbers w:val="0"/>
              <w:spacing w:before="0" w:beforeAutospacing="0" w:after="0" w:afterAutospacing="0"/>
              <w:ind w:left="0" w:right="0"/>
              <w:jc w:val="center"/>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1</w:t>
            </w:r>
          </w:p>
        </w:tc>
        <w:tc>
          <w:tcPr>
            <w:tcW w:w="1090" w:type="dxa"/>
            <w:vAlign w:val="center"/>
          </w:tcPr>
          <w:p w14:paraId="5F21C6A1">
            <w:pPr>
              <w:keepNext w:val="0"/>
              <w:keepLines w:val="0"/>
              <w:suppressLineNumbers w:val="0"/>
              <w:spacing w:before="0" w:beforeAutospacing="0" w:after="0" w:afterAutospacing="0"/>
              <w:ind w:left="0" w:right="0"/>
              <w:jc w:val="center"/>
              <w:rPr>
                <w:rFonts w:hint="default"/>
                <w:color w:val="auto"/>
                <w:sz w:val="24"/>
                <w:szCs w:val="24"/>
                <w:highlight w:val="none"/>
              </w:rPr>
            </w:pPr>
            <w:r>
              <w:rPr>
                <w:rFonts w:hint="default"/>
                <w:color w:val="auto"/>
                <w:sz w:val="24"/>
                <w:szCs w:val="24"/>
                <w:highlight w:val="none"/>
              </w:rPr>
              <w:t>王淑敏</w:t>
            </w:r>
          </w:p>
        </w:tc>
        <w:tc>
          <w:tcPr>
            <w:tcW w:w="2832" w:type="dxa"/>
            <w:vAlign w:val="center"/>
          </w:tcPr>
          <w:p w14:paraId="0538DEC8">
            <w:pPr>
              <w:keepNext w:val="0"/>
              <w:keepLines w:val="0"/>
              <w:suppressLineNumbers w:val="0"/>
              <w:spacing w:before="0" w:beforeAutospacing="0" w:after="0" w:afterAutospacing="0"/>
              <w:ind w:left="0" w:right="0"/>
              <w:jc w:val="cente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440102********2327</w:t>
            </w:r>
          </w:p>
        </w:tc>
        <w:tc>
          <w:tcPr>
            <w:tcW w:w="1083" w:type="dxa"/>
            <w:shd w:val="clear" w:color="auto" w:fill="auto"/>
            <w:vAlign w:val="center"/>
          </w:tcPr>
          <w:p w14:paraId="6D04D399">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4"/>
                <w:szCs w:val="24"/>
                <w:lang w:val="en-US" w:eastAsia="zh-CN" w:bidi="ar-SA"/>
              </w:rPr>
            </w:pPr>
            <w:r>
              <w:rPr>
                <w:rFonts w:hint="eastAsia"/>
                <w:color w:val="auto"/>
                <w:sz w:val="24"/>
                <w:szCs w:val="24"/>
                <w:lang w:eastAsia="zh-CN"/>
              </w:rPr>
              <w:t>广州市荔湾区</w:t>
            </w:r>
          </w:p>
        </w:tc>
        <w:tc>
          <w:tcPr>
            <w:tcW w:w="1351" w:type="dxa"/>
            <w:shd w:val="clear" w:color="auto" w:fill="auto"/>
            <w:vAlign w:val="center"/>
          </w:tcPr>
          <w:p w14:paraId="210F0A1E">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4"/>
                <w:szCs w:val="24"/>
                <w:lang w:val="en-US" w:eastAsia="zh-CN" w:bidi="ar-SA"/>
              </w:rPr>
            </w:pPr>
            <w:r>
              <w:rPr>
                <w:rFonts w:hint="eastAsia"/>
                <w:color w:val="auto"/>
                <w:sz w:val="24"/>
                <w:szCs w:val="24"/>
                <w:lang w:eastAsia="zh-CN"/>
              </w:rPr>
              <w:t>是</w:t>
            </w:r>
          </w:p>
        </w:tc>
        <w:tc>
          <w:tcPr>
            <w:tcW w:w="1666" w:type="dxa"/>
            <w:shd w:val="clear" w:color="auto" w:fill="auto"/>
            <w:vAlign w:val="center"/>
          </w:tcPr>
          <w:p w14:paraId="00465A3A">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4"/>
                <w:szCs w:val="24"/>
                <w:lang w:val="en-US" w:eastAsia="zh-CN" w:bidi="ar-SA"/>
              </w:rPr>
            </w:pPr>
            <w:r>
              <w:rPr>
                <w:rFonts w:hint="eastAsia"/>
                <w:color w:val="auto"/>
                <w:sz w:val="24"/>
                <w:szCs w:val="24"/>
                <w:lang w:eastAsia="zh-CN"/>
              </w:rPr>
              <w:t>大龄失业人员</w:t>
            </w:r>
          </w:p>
        </w:tc>
        <w:tc>
          <w:tcPr>
            <w:tcW w:w="976" w:type="dxa"/>
            <w:shd w:val="clear" w:color="auto" w:fill="auto"/>
            <w:vAlign w:val="center"/>
          </w:tcPr>
          <w:p w14:paraId="650E30DD">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4"/>
                <w:szCs w:val="24"/>
                <w:lang w:val="en-US" w:eastAsia="zh-CN" w:bidi="ar-SA"/>
              </w:rPr>
            </w:pPr>
            <w:r>
              <w:rPr>
                <w:rFonts w:hint="eastAsia"/>
                <w:color w:val="auto"/>
                <w:sz w:val="24"/>
                <w:szCs w:val="24"/>
                <w:lang w:eastAsia="zh-CN"/>
              </w:rPr>
              <w:t>否</w:t>
            </w:r>
          </w:p>
        </w:tc>
        <w:tc>
          <w:tcPr>
            <w:tcW w:w="1208" w:type="dxa"/>
            <w:shd w:val="clear" w:color="auto" w:fill="auto"/>
            <w:vAlign w:val="center"/>
          </w:tcPr>
          <w:p w14:paraId="2A414E76">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4"/>
                <w:szCs w:val="24"/>
                <w:lang w:val="en-US" w:eastAsia="zh-CN" w:bidi="ar-SA"/>
              </w:rPr>
            </w:pPr>
            <w:r>
              <w:rPr>
                <w:rFonts w:hint="eastAsia"/>
                <w:color w:val="auto"/>
                <w:sz w:val="24"/>
                <w:szCs w:val="24"/>
                <w:lang w:eastAsia="zh-CN"/>
              </w:rPr>
              <w:t>否</w:t>
            </w:r>
          </w:p>
        </w:tc>
        <w:tc>
          <w:tcPr>
            <w:tcW w:w="1216" w:type="dxa"/>
            <w:vAlign w:val="center"/>
          </w:tcPr>
          <w:p w14:paraId="0079A3A6">
            <w:pPr>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ascii="仿宋_GB2312" w:eastAsia="仿宋_GB2312"/>
                <w:color w:val="auto"/>
                <w:kern w:val="0"/>
                <w:sz w:val="24"/>
                <w:szCs w:val="24"/>
                <w:highlight w:val="none"/>
              </w:rPr>
              <w:t>公共服务类岗位</w:t>
            </w:r>
          </w:p>
        </w:tc>
        <w:tc>
          <w:tcPr>
            <w:tcW w:w="1284" w:type="dxa"/>
            <w:vAlign w:val="center"/>
          </w:tcPr>
          <w:p w14:paraId="67389106">
            <w:pPr>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ascii="仿宋_GB2312" w:eastAsia="仿宋_GB2312"/>
                <w:color w:val="auto"/>
                <w:kern w:val="0"/>
                <w:sz w:val="24"/>
                <w:szCs w:val="24"/>
                <w:highlight w:val="none"/>
              </w:rPr>
              <w:t>就业社保协管</w:t>
            </w:r>
          </w:p>
        </w:tc>
        <w:tc>
          <w:tcPr>
            <w:tcW w:w="1620" w:type="dxa"/>
            <w:vAlign w:val="center"/>
          </w:tcPr>
          <w:p w14:paraId="1447B740">
            <w:pPr>
              <w:keepNext w:val="0"/>
              <w:keepLines w:val="0"/>
              <w:suppressLineNumbers w:val="0"/>
              <w:spacing w:before="0" w:beforeAutospacing="0" w:after="0" w:afterAutospacing="0"/>
              <w:ind w:left="0" w:right="0"/>
              <w:jc w:val="center"/>
              <w:rPr>
                <w:rFonts w:hint="default" w:eastAsiaTheme="minorEastAsia"/>
                <w:color w:val="auto"/>
                <w:sz w:val="24"/>
                <w:szCs w:val="24"/>
                <w:highlight w:val="green"/>
                <w:lang w:val="en-US" w:eastAsia="zh-CN"/>
              </w:rPr>
            </w:pPr>
            <w:r>
              <w:rPr>
                <w:rFonts w:hint="eastAsia"/>
                <w:color w:val="auto"/>
                <w:sz w:val="24"/>
                <w:szCs w:val="24"/>
                <w:highlight w:val="none"/>
                <w:lang w:val="en-US" w:eastAsia="zh-CN"/>
              </w:rPr>
              <w:t>2025.10.1-2028.9.30</w:t>
            </w:r>
          </w:p>
        </w:tc>
      </w:tr>
      <w:tr w14:paraId="4D53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7" w:type="dxa"/>
          </w:tcPr>
          <w:p w14:paraId="544FAC7C">
            <w:pPr>
              <w:keepNext w:val="0"/>
              <w:keepLines w:val="0"/>
              <w:suppressLineNumbers w:val="0"/>
              <w:spacing w:before="0" w:beforeAutospacing="0" w:after="0" w:afterAutospacing="0"/>
              <w:ind w:left="0" w:right="0"/>
              <w:rPr>
                <w:rFonts w:hint="default"/>
                <w:color w:val="auto"/>
                <w:highlight w:val="none"/>
              </w:rPr>
            </w:pPr>
          </w:p>
        </w:tc>
        <w:tc>
          <w:tcPr>
            <w:tcW w:w="1090" w:type="dxa"/>
          </w:tcPr>
          <w:p w14:paraId="1CDFEF33">
            <w:pPr>
              <w:keepNext w:val="0"/>
              <w:keepLines w:val="0"/>
              <w:suppressLineNumbers w:val="0"/>
              <w:spacing w:before="0" w:beforeAutospacing="0" w:after="0" w:afterAutospacing="0"/>
              <w:ind w:left="0" w:right="0"/>
              <w:rPr>
                <w:rFonts w:hint="default"/>
                <w:color w:val="auto"/>
                <w:highlight w:val="none"/>
              </w:rPr>
            </w:pPr>
          </w:p>
        </w:tc>
        <w:tc>
          <w:tcPr>
            <w:tcW w:w="2832" w:type="dxa"/>
          </w:tcPr>
          <w:p w14:paraId="380558D1">
            <w:pPr>
              <w:keepNext w:val="0"/>
              <w:keepLines w:val="0"/>
              <w:suppressLineNumbers w:val="0"/>
              <w:spacing w:before="0" w:beforeAutospacing="0" w:after="0" w:afterAutospacing="0"/>
              <w:ind w:left="0" w:right="0"/>
              <w:rPr>
                <w:rFonts w:hint="default"/>
                <w:color w:val="auto"/>
                <w:highlight w:val="none"/>
              </w:rPr>
            </w:pPr>
          </w:p>
        </w:tc>
        <w:tc>
          <w:tcPr>
            <w:tcW w:w="1083" w:type="dxa"/>
          </w:tcPr>
          <w:p w14:paraId="3731AC3B">
            <w:pPr>
              <w:keepNext w:val="0"/>
              <w:keepLines w:val="0"/>
              <w:suppressLineNumbers w:val="0"/>
              <w:spacing w:before="0" w:beforeAutospacing="0" w:after="0" w:afterAutospacing="0"/>
              <w:ind w:left="0" w:right="0"/>
              <w:rPr>
                <w:rFonts w:hint="default"/>
                <w:color w:val="auto"/>
                <w:highlight w:val="none"/>
              </w:rPr>
            </w:pPr>
          </w:p>
        </w:tc>
        <w:tc>
          <w:tcPr>
            <w:tcW w:w="1351" w:type="dxa"/>
          </w:tcPr>
          <w:p w14:paraId="013EEAF5">
            <w:pPr>
              <w:keepNext w:val="0"/>
              <w:keepLines w:val="0"/>
              <w:suppressLineNumbers w:val="0"/>
              <w:spacing w:before="0" w:beforeAutospacing="0" w:after="0" w:afterAutospacing="0"/>
              <w:ind w:left="0" w:right="0"/>
              <w:rPr>
                <w:rFonts w:hint="default"/>
                <w:color w:val="auto"/>
                <w:highlight w:val="none"/>
              </w:rPr>
            </w:pPr>
          </w:p>
        </w:tc>
        <w:tc>
          <w:tcPr>
            <w:tcW w:w="1666" w:type="dxa"/>
          </w:tcPr>
          <w:p w14:paraId="2F68B599">
            <w:pPr>
              <w:keepNext w:val="0"/>
              <w:keepLines w:val="0"/>
              <w:suppressLineNumbers w:val="0"/>
              <w:spacing w:before="0" w:beforeAutospacing="0" w:after="0" w:afterAutospacing="0"/>
              <w:ind w:left="0" w:right="0"/>
              <w:rPr>
                <w:rFonts w:hint="default"/>
                <w:color w:val="auto"/>
                <w:highlight w:val="none"/>
              </w:rPr>
            </w:pPr>
          </w:p>
        </w:tc>
        <w:tc>
          <w:tcPr>
            <w:tcW w:w="976" w:type="dxa"/>
          </w:tcPr>
          <w:p w14:paraId="0356BC0F">
            <w:pPr>
              <w:keepNext w:val="0"/>
              <w:keepLines w:val="0"/>
              <w:suppressLineNumbers w:val="0"/>
              <w:spacing w:before="0" w:beforeAutospacing="0" w:after="0" w:afterAutospacing="0"/>
              <w:ind w:left="0" w:right="0"/>
              <w:rPr>
                <w:rFonts w:hint="default"/>
                <w:color w:val="auto"/>
                <w:highlight w:val="none"/>
              </w:rPr>
            </w:pPr>
          </w:p>
        </w:tc>
        <w:tc>
          <w:tcPr>
            <w:tcW w:w="1208" w:type="dxa"/>
          </w:tcPr>
          <w:p w14:paraId="47198E78">
            <w:pPr>
              <w:keepNext w:val="0"/>
              <w:keepLines w:val="0"/>
              <w:suppressLineNumbers w:val="0"/>
              <w:spacing w:before="0" w:beforeAutospacing="0" w:after="0" w:afterAutospacing="0"/>
              <w:ind w:left="0" w:right="0"/>
              <w:rPr>
                <w:rFonts w:hint="default"/>
                <w:color w:val="auto"/>
                <w:highlight w:val="none"/>
              </w:rPr>
            </w:pPr>
          </w:p>
        </w:tc>
        <w:tc>
          <w:tcPr>
            <w:tcW w:w="1216" w:type="dxa"/>
          </w:tcPr>
          <w:p w14:paraId="01B9E5BF">
            <w:pPr>
              <w:keepNext w:val="0"/>
              <w:keepLines w:val="0"/>
              <w:suppressLineNumbers w:val="0"/>
              <w:spacing w:before="0" w:beforeAutospacing="0" w:after="0" w:afterAutospacing="0"/>
              <w:ind w:left="0" w:right="0"/>
              <w:rPr>
                <w:rFonts w:hint="default"/>
                <w:color w:val="auto"/>
                <w:highlight w:val="none"/>
              </w:rPr>
            </w:pPr>
          </w:p>
        </w:tc>
        <w:tc>
          <w:tcPr>
            <w:tcW w:w="1284" w:type="dxa"/>
          </w:tcPr>
          <w:p w14:paraId="6E77994A">
            <w:pPr>
              <w:keepNext w:val="0"/>
              <w:keepLines w:val="0"/>
              <w:suppressLineNumbers w:val="0"/>
              <w:spacing w:before="0" w:beforeAutospacing="0" w:after="0" w:afterAutospacing="0"/>
              <w:ind w:left="0" w:right="0"/>
              <w:rPr>
                <w:rFonts w:hint="default"/>
                <w:color w:val="auto"/>
                <w:highlight w:val="none"/>
              </w:rPr>
            </w:pPr>
          </w:p>
        </w:tc>
        <w:tc>
          <w:tcPr>
            <w:tcW w:w="1620" w:type="dxa"/>
          </w:tcPr>
          <w:p w14:paraId="6DBA708C">
            <w:pPr>
              <w:keepNext w:val="0"/>
              <w:keepLines w:val="0"/>
              <w:suppressLineNumbers w:val="0"/>
              <w:spacing w:before="0" w:beforeAutospacing="0" w:after="0" w:afterAutospacing="0"/>
              <w:ind w:left="0" w:right="0"/>
              <w:rPr>
                <w:rFonts w:hint="default"/>
                <w:color w:val="auto"/>
                <w:highlight w:val="none"/>
              </w:rPr>
            </w:pPr>
          </w:p>
        </w:tc>
      </w:tr>
      <w:tr w14:paraId="53B7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7" w:type="dxa"/>
          </w:tcPr>
          <w:p w14:paraId="45747760">
            <w:pPr>
              <w:keepNext w:val="0"/>
              <w:keepLines w:val="0"/>
              <w:suppressLineNumbers w:val="0"/>
              <w:spacing w:before="0" w:beforeAutospacing="0" w:after="0" w:afterAutospacing="0"/>
              <w:ind w:left="0" w:right="0"/>
              <w:rPr>
                <w:rFonts w:hint="default"/>
                <w:color w:val="auto"/>
                <w:highlight w:val="none"/>
              </w:rPr>
            </w:pPr>
          </w:p>
        </w:tc>
        <w:tc>
          <w:tcPr>
            <w:tcW w:w="1090" w:type="dxa"/>
          </w:tcPr>
          <w:p w14:paraId="7480C4C8">
            <w:pPr>
              <w:keepNext w:val="0"/>
              <w:keepLines w:val="0"/>
              <w:suppressLineNumbers w:val="0"/>
              <w:spacing w:before="0" w:beforeAutospacing="0" w:after="0" w:afterAutospacing="0"/>
              <w:ind w:left="0" w:right="0"/>
              <w:rPr>
                <w:rFonts w:hint="default"/>
                <w:color w:val="auto"/>
                <w:highlight w:val="none"/>
              </w:rPr>
            </w:pPr>
          </w:p>
        </w:tc>
        <w:tc>
          <w:tcPr>
            <w:tcW w:w="2832" w:type="dxa"/>
          </w:tcPr>
          <w:p w14:paraId="1FE8CD8D">
            <w:pPr>
              <w:keepNext w:val="0"/>
              <w:keepLines w:val="0"/>
              <w:suppressLineNumbers w:val="0"/>
              <w:spacing w:before="0" w:beforeAutospacing="0" w:after="0" w:afterAutospacing="0"/>
              <w:ind w:left="0" w:right="0"/>
              <w:rPr>
                <w:rFonts w:hint="default"/>
                <w:color w:val="auto"/>
                <w:highlight w:val="none"/>
              </w:rPr>
            </w:pPr>
          </w:p>
        </w:tc>
        <w:tc>
          <w:tcPr>
            <w:tcW w:w="1083" w:type="dxa"/>
          </w:tcPr>
          <w:p w14:paraId="3E21F635">
            <w:pPr>
              <w:keepNext w:val="0"/>
              <w:keepLines w:val="0"/>
              <w:suppressLineNumbers w:val="0"/>
              <w:spacing w:before="0" w:beforeAutospacing="0" w:after="0" w:afterAutospacing="0"/>
              <w:ind w:left="0" w:right="0"/>
              <w:rPr>
                <w:rFonts w:hint="default"/>
                <w:color w:val="auto"/>
                <w:highlight w:val="none"/>
              </w:rPr>
            </w:pPr>
          </w:p>
        </w:tc>
        <w:tc>
          <w:tcPr>
            <w:tcW w:w="1351" w:type="dxa"/>
          </w:tcPr>
          <w:p w14:paraId="7527DE01">
            <w:pPr>
              <w:keepNext w:val="0"/>
              <w:keepLines w:val="0"/>
              <w:suppressLineNumbers w:val="0"/>
              <w:spacing w:before="0" w:beforeAutospacing="0" w:after="0" w:afterAutospacing="0"/>
              <w:ind w:left="0" w:right="0"/>
              <w:rPr>
                <w:rFonts w:hint="default"/>
                <w:color w:val="auto"/>
                <w:highlight w:val="none"/>
              </w:rPr>
            </w:pPr>
          </w:p>
        </w:tc>
        <w:tc>
          <w:tcPr>
            <w:tcW w:w="1666" w:type="dxa"/>
          </w:tcPr>
          <w:p w14:paraId="1233B14F">
            <w:pPr>
              <w:keepNext w:val="0"/>
              <w:keepLines w:val="0"/>
              <w:suppressLineNumbers w:val="0"/>
              <w:spacing w:before="0" w:beforeAutospacing="0" w:after="0" w:afterAutospacing="0"/>
              <w:ind w:left="0" w:right="0"/>
              <w:rPr>
                <w:rFonts w:hint="default"/>
                <w:color w:val="auto"/>
                <w:highlight w:val="none"/>
              </w:rPr>
            </w:pPr>
          </w:p>
        </w:tc>
        <w:tc>
          <w:tcPr>
            <w:tcW w:w="976" w:type="dxa"/>
          </w:tcPr>
          <w:p w14:paraId="4E1AB230">
            <w:pPr>
              <w:keepNext w:val="0"/>
              <w:keepLines w:val="0"/>
              <w:suppressLineNumbers w:val="0"/>
              <w:spacing w:before="0" w:beforeAutospacing="0" w:after="0" w:afterAutospacing="0"/>
              <w:ind w:left="0" w:right="0"/>
              <w:rPr>
                <w:rFonts w:hint="default"/>
                <w:color w:val="auto"/>
                <w:highlight w:val="none"/>
              </w:rPr>
            </w:pPr>
          </w:p>
        </w:tc>
        <w:tc>
          <w:tcPr>
            <w:tcW w:w="1208" w:type="dxa"/>
          </w:tcPr>
          <w:p w14:paraId="3121F2B0">
            <w:pPr>
              <w:keepNext w:val="0"/>
              <w:keepLines w:val="0"/>
              <w:suppressLineNumbers w:val="0"/>
              <w:spacing w:before="0" w:beforeAutospacing="0" w:after="0" w:afterAutospacing="0"/>
              <w:ind w:left="0" w:right="0"/>
              <w:rPr>
                <w:rFonts w:hint="default"/>
                <w:color w:val="auto"/>
                <w:highlight w:val="none"/>
              </w:rPr>
            </w:pPr>
          </w:p>
        </w:tc>
        <w:tc>
          <w:tcPr>
            <w:tcW w:w="1216" w:type="dxa"/>
          </w:tcPr>
          <w:p w14:paraId="666C21B8">
            <w:pPr>
              <w:keepNext w:val="0"/>
              <w:keepLines w:val="0"/>
              <w:suppressLineNumbers w:val="0"/>
              <w:spacing w:before="0" w:beforeAutospacing="0" w:after="0" w:afterAutospacing="0"/>
              <w:ind w:left="0" w:right="0"/>
              <w:rPr>
                <w:rFonts w:hint="default"/>
                <w:color w:val="auto"/>
                <w:highlight w:val="none"/>
              </w:rPr>
            </w:pPr>
          </w:p>
        </w:tc>
        <w:tc>
          <w:tcPr>
            <w:tcW w:w="1284" w:type="dxa"/>
          </w:tcPr>
          <w:p w14:paraId="04E8C91A">
            <w:pPr>
              <w:keepNext w:val="0"/>
              <w:keepLines w:val="0"/>
              <w:suppressLineNumbers w:val="0"/>
              <w:spacing w:before="0" w:beforeAutospacing="0" w:after="0" w:afterAutospacing="0"/>
              <w:ind w:left="0" w:right="0"/>
              <w:rPr>
                <w:rFonts w:hint="default"/>
                <w:color w:val="auto"/>
                <w:highlight w:val="none"/>
              </w:rPr>
            </w:pPr>
          </w:p>
        </w:tc>
        <w:tc>
          <w:tcPr>
            <w:tcW w:w="1620" w:type="dxa"/>
          </w:tcPr>
          <w:p w14:paraId="40BCDB65">
            <w:pPr>
              <w:keepNext w:val="0"/>
              <w:keepLines w:val="0"/>
              <w:suppressLineNumbers w:val="0"/>
              <w:spacing w:before="0" w:beforeAutospacing="0" w:after="0" w:afterAutospacing="0"/>
              <w:ind w:left="0" w:right="0"/>
              <w:rPr>
                <w:rFonts w:hint="default"/>
                <w:color w:val="auto"/>
                <w:highlight w:val="none"/>
              </w:rPr>
            </w:pPr>
          </w:p>
        </w:tc>
      </w:tr>
      <w:tr w14:paraId="4002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7" w:type="dxa"/>
          </w:tcPr>
          <w:p w14:paraId="49CEAAD0">
            <w:pPr>
              <w:keepNext w:val="0"/>
              <w:keepLines w:val="0"/>
              <w:suppressLineNumbers w:val="0"/>
              <w:spacing w:before="0" w:beforeAutospacing="0" w:after="0" w:afterAutospacing="0"/>
              <w:ind w:left="0" w:right="0"/>
              <w:rPr>
                <w:rFonts w:hint="default"/>
                <w:color w:val="auto"/>
                <w:highlight w:val="none"/>
              </w:rPr>
            </w:pPr>
          </w:p>
        </w:tc>
        <w:tc>
          <w:tcPr>
            <w:tcW w:w="1090" w:type="dxa"/>
          </w:tcPr>
          <w:p w14:paraId="7705C591">
            <w:pPr>
              <w:keepNext w:val="0"/>
              <w:keepLines w:val="0"/>
              <w:suppressLineNumbers w:val="0"/>
              <w:spacing w:before="0" w:beforeAutospacing="0" w:after="0" w:afterAutospacing="0"/>
              <w:ind w:left="0" w:right="0"/>
              <w:rPr>
                <w:rFonts w:hint="default"/>
                <w:color w:val="auto"/>
                <w:highlight w:val="none"/>
              </w:rPr>
            </w:pPr>
          </w:p>
        </w:tc>
        <w:tc>
          <w:tcPr>
            <w:tcW w:w="2832" w:type="dxa"/>
          </w:tcPr>
          <w:p w14:paraId="1E3EB1DA">
            <w:pPr>
              <w:keepNext w:val="0"/>
              <w:keepLines w:val="0"/>
              <w:suppressLineNumbers w:val="0"/>
              <w:spacing w:before="0" w:beforeAutospacing="0" w:after="0" w:afterAutospacing="0"/>
              <w:ind w:left="0" w:right="0"/>
              <w:rPr>
                <w:rFonts w:hint="default"/>
                <w:color w:val="auto"/>
                <w:highlight w:val="none"/>
              </w:rPr>
            </w:pPr>
          </w:p>
        </w:tc>
        <w:tc>
          <w:tcPr>
            <w:tcW w:w="1083" w:type="dxa"/>
          </w:tcPr>
          <w:p w14:paraId="25D9ECBF">
            <w:pPr>
              <w:keepNext w:val="0"/>
              <w:keepLines w:val="0"/>
              <w:suppressLineNumbers w:val="0"/>
              <w:spacing w:before="0" w:beforeAutospacing="0" w:after="0" w:afterAutospacing="0"/>
              <w:ind w:left="0" w:right="0"/>
              <w:rPr>
                <w:rFonts w:hint="default"/>
                <w:color w:val="auto"/>
                <w:highlight w:val="none"/>
              </w:rPr>
            </w:pPr>
          </w:p>
        </w:tc>
        <w:tc>
          <w:tcPr>
            <w:tcW w:w="1351" w:type="dxa"/>
          </w:tcPr>
          <w:p w14:paraId="33960A45">
            <w:pPr>
              <w:keepNext w:val="0"/>
              <w:keepLines w:val="0"/>
              <w:suppressLineNumbers w:val="0"/>
              <w:spacing w:before="0" w:beforeAutospacing="0" w:after="0" w:afterAutospacing="0"/>
              <w:ind w:left="0" w:right="0"/>
              <w:rPr>
                <w:rFonts w:hint="default"/>
                <w:color w:val="auto"/>
                <w:highlight w:val="none"/>
              </w:rPr>
            </w:pPr>
          </w:p>
        </w:tc>
        <w:tc>
          <w:tcPr>
            <w:tcW w:w="1666" w:type="dxa"/>
          </w:tcPr>
          <w:p w14:paraId="5F556F04">
            <w:pPr>
              <w:keepNext w:val="0"/>
              <w:keepLines w:val="0"/>
              <w:suppressLineNumbers w:val="0"/>
              <w:spacing w:before="0" w:beforeAutospacing="0" w:after="0" w:afterAutospacing="0"/>
              <w:ind w:left="0" w:right="0"/>
              <w:rPr>
                <w:rFonts w:hint="default"/>
                <w:color w:val="auto"/>
                <w:highlight w:val="none"/>
              </w:rPr>
            </w:pPr>
          </w:p>
        </w:tc>
        <w:tc>
          <w:tcPr>
            <w:tcW w:w="976" w:type="dxa"/>
          </w:tcPr>
          <w:p w14:paraId="21120119">
            <w:pPr>
              <w:keepNext w:val="0"/>
              <w:keepLines w:val="0"/>
              <w:suppressLineNumbers w:val="0"/>
              <w:spacing w:before="0" w:beforeAutospacing="0" w:after="0" w:afterAutospacing="0"/>
              <w:ind w:left="0" w:right="0"/>
              <w:rPr>
                <w:rFonts w:hint="default"/>
                <w:color w:val="auto"/>
                <w:highlight w:val="none"/>
              </w:rPr>
            </w:pPr>
          </w:p>
        </w:tc>
        <w:tc>
          <w:tcPr>
            <w:tcW w:w="1208" w:type="dxa"/>
          </w:tcPr>
          <w:p w14:paraId="4746C80A">
            <w:pPr>
              <w:keepNext w:val="0"/>
              <w:keepLines w:val="0"/>
              <w:suppressLineNumbers w:val="0"/>
              <w:spacing w:before="0" w:beforeAutospacing="0" w:after="0" w:afterAutospacing="0"/>
              <w:ind w:left="0" w:right="0"/>
              <w:rPr>
                <w:rFonts w:hint="default"/>
                <w:color w:val="auto"/>
                <w:highlight w:val="none"/>
              </w:rPr>
            </w:pPr>
          </w:p>
        </w:tc>
        <w:tc>
          <w:tcPr>
            <w:tcW w:w="1216" w:type="dxa"/>
          </w:tcPr>
          <w:p w14:paraId="619FD8BD">
            <w:pPr>
              <w:keepNext w:val="0"/>
              <w:keepLines w:val="0"/>
              <w:suppressLineNumbers w:val="0"/>
              <w:spacing w:before="0" w:beforeAutospacing="0" w:after="0" w:afterAutospacing="0"/>
              <w:ind w:left="0" w:right="0"/>
              <w:rPr>
                <w:rFonts w:hint="default"/>
                <w:color w:val="auto"/>
                <w:highlight w:val="none"/>
              </w:rPr>
            </w:pPr>
          </w:p>
        </w:tc>
        <w:tc>
          <w:tcPr>
            <w:tcW w:w="1284" w:type="dxa"/>
          </w:tcPr>
          <w:p w14:paraId="229E67CC">
            <w:pPr>
              <w:keepNext w:val="0"/>
              <w:keepLines w:val="0"/>
              <w:suppressLineNumbers w:val="0"/>
              <w:spacing w:before="0" w:beforeAutospacing="0" w:after="0" w:afterAutospacing="0"/>
              <w:ind w:left="0" w:right="0"/>
              <w:rPr>
                <w:rFonts w:hint="default"/>
                <w:color w:val="auto"/>
                <w:highlight w:val="none"/>
              </w:rPr>
            </w:pPr>
          </w:p>
        </w:tc>
        <w:tc>
          <w:tcPr>
            <w:tcW w:w="1620" w:type="dxa"/>
          </w:tcPr>
          <w:p w14:paraId="580E1875">
            <w:pPr>
              <w:keepNext w:val="0"/>
              <w:keepLines w:val="0"/>
              <w:suppressLineNumbers w:val="0"/>
              <w:spacing w:before="0" w:beforeAutospacing="0" w:after="0" w:afterAutospacing="0"/>
              <w:ind w:left="0" w:right="0"/>
              <w:rPr>
                <w:rFonts w:hint="default"/>
                <w:color w:val="auto"/>
                <w:highlight w:val="none"/>
              </w:rPr>
            </w:pPr>
          </w:p>
        </w:tc>
      </w:tr>
      <w:tr w14:paraId="0D95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47" w:type="dxa"/>
          </w:tcPr>
          <w:p w14:paraId="0F40B26C">
            <w:pPr>
              <w:keepNext w:val="0"/>
              <w:keepLines w:val="0"/>
              <w:suppressLineNumbers w:val="0"/>
              <w:spacing w:before="0" w:beforeAutospacing="0" w:after="0" w:afterAutospacing="0"/>
              <w:ind w:left="0" w:right="0"/>
              <w:rPr>
                <w:rFonts w:hint="default"/>
                <w:color w:val="auto"/>
                <w:highlight w:val="none"/>
              </w:rPr>
            </w:pPr>
          </w:p>
        </w:tc>
        <w:tc>
          <w:tcPr>
            <w:tcW w:w="1090" w:type="dxa"/>
          </w:tcPr>
          <w:p w14:paraId="1DC304F0">
            <w:pPr>
              <w:keepNext w:val="0"/>
              <w:keepLines w:val="0"/>
              <w:suppressLineNumbers w:val="0"/>
              <w:spacing w:before="0" w:beforeAutospacing="0" w:after="0" w:afterAutospacing="0"/>
              <w:ind w:left="0" w:right="0"/>
              <w:rPr>
                <w:rFonts w:hint="default"/>
                <w:color w:val="auto"/>
                <w:highlight w:val="none"/>
              </w:rPr>
            </w:pPr>
          </w:p>
        </w:tc>
        <w:tc>
          <w:tcPr>
            <w:tcW w:w="2832" w:type="dxa"/>
          </w:tcPr>
          <w:p w14:paraId="2C1B37C6">
            <w:pPr>
              <w:keepNext w:val="0"/>
              <w:keepLines w:val="0"/>
              <w:suppressLineNumbers w:val="0"/>
              <w:spacing w:before="0" w:beforeAutospacing="0" w:after="0" w:afterAutospacing="0"/>
              <w:ind w:left="0" w:right="0"/>
              <w:rPr>
                <w:rFonts w:hint="default"/>
                <w:color w:val="auto"/>
                <w:highlight w:val="none"/>
              </w:rPr>
            </w:pPr>
          </w:p>
        </w:tc>
        <w:tc>
          <w:tcPr>
            <w:tcW w:w="1083" w:type="dxa"/>
          </w:tcPr>
          <w:p w14:paraId="5D0CBA2E">
            <w:pPr>
              <w:keepNext w:val="0"/>
              <w:keepLines w:val="0"/>
              <w:suppressLineNumbers w:val="0"/>
              <w:spacing w:before="0" w:beforeAutospacing="0" w:after="0" w:afterAutospacing="0"/>
              <w:ind w:left="0" w:right="0"/>
              <w:rPr>
                <w:rFonts w:hint="default"/>
                <w:color w:val="auto"/>
                <w:highlight w:val="none"/>
              </w:rPr>
            </w:pPr>
          </w:p>
        </w:tc>
        <w:tc>
          <w:tcPr>
            <w:tcW w:w="1351" w:type="dxa"/>
          </w:tcPr>
          <w:p w14:paraId="59635655">
            <w:pPr>
              <w:keepNext w:val="0"/>
              <w:keepLines w:val="0"/>
              <w:suppressLineNumbers w:val="0"/>
              <w:spacing w:before="0" w:beforeAutospacing="0" w:after="0" w:afterAutospacing="0"/>
              <w:ind w:left="0" w:right="0"/>
              <w:rPr>
                <w:rFonts w:hint="default"/>
                <w:color w:val="auto"/>
                <w:highlight w:val="none"/>
              </w:rPr>
            </w:pPr>
          </w:p>
        </w:tc>
        <w:tc>
          <w:tcPr>
            <w:tcW w:w="1666" w:type="dxa"/>
          </w:tcPr>
          <w:p w14:paraId="4F14EE64">
            <w:pPr>
              <w:keepNext w:val="0"/>
              <w:keepLines w:val="0"/>
              <w:suppressLineNumbers w:val="0"/>
              <w:spacing w:before="0" w:beforeAutospacing="0" w:after="0" w:afterAutospacing="0"/>
              <w:ind w:left="0" w:right="0"/>
              <w:rPr>
                <w:rFonts w:hint="default"/>
                <w:color w:val="auto"/>
                <w:highlight w:val="none"/>
              </w:rPr>
            </w:pPr>
          </w:p>
        </w:tc>
        <w:tc>
          <w:tcPr>
            <w:tcW w:w="976" w:type="dxa"/>
          </w:tcPr>
          <w:p w14:paraId="1B717B7F">
            <w:pPr>
              <w:keepNext w:val="0"/>
              <w:keepLines w:val="0"/>
              <w:suppressLineNumbers w:val="0"/>
              <w:spacing w:before="0" w:beforeAutospacing="0" w:after="0" w:afterAutospacing="0"/>
              <w:ind w:left="0" w:right="0"/>
              <w:rPr>
                <w:rFonts w:hint="default"/>
                <w:color w:val="auto"/>
                <w:highlight w:val="none"/>
              </w:rPr>
            </w:pPr>
          </w:p>
        </w:tc>
        <w:tc>
          <w:tcPr>
            <w:tcW w:w="1208" w:type="dxa"/>
          </w:tcPr>
          <w:p w14:paraId="39ED34A8">
            <w:pPr>
              <w:keepNext w:val="0"/>
              <w:keepLines w:val="0"/>
              <w:suppressLineNumbers w:val="0"/>
              <w:spacing w:before="0" w:beforeAutospacing="0" w:after="0" w:afterAutospacing="0"/>
              <w:ind w:left="0" w:right="0"/>
              <w:rPr>
                <w:rFonts w:hint="default"/>
                <w:color w:val="auto"/>
                <w:highlight w:val="none"/>
              </w:rPr>
            </w:pPr>
          </w:p>
        </w:tc>
        <w:tc>
          <w:tcPr>
            <w:tcW w:w="1216" w:type="dxa"/>
          </w:tcPr>
          <w:p w14:paraId="7CB0D49D">
            <w:pPr>
              <w:keepNext w:val="0"/>
              <w:keepLines w:val="0"/>
              <w:suppressLineNumbers w:val="0"/>
              <w:spacing w:before="0" w:beforeAutospacing="0" w:after="0" w:afterAutospacing="0"/>
              <w:ind w:left="0" w:right="0"/>
              <w:rPr>
                <w:rFonts w:hint="default"/>
                <w:color w:val="auto"/>
                <w:highlight w:val="none"/>
              </w:rPr>
            </w:pPr>
          </w:p>
        </w:tc>
        <w:tc>
          <w:tcPr>
            <w:tcW w:w="1284" w:type="dxa"/>
          </w:tcPr>
          <w:p w14:paraId="1B15E516">
            <w:pPr>
              <w:keepNext w:val="0"/>
              <w:keepLines w:val="0"/>
              <w:suppressLineNumbers w:val="0"/>
              <w:spacing w:before="0" w:beforeAutospacing="0" w:after="0" w:afterAutospacing="0"/>
              <w:ind w:left="0" w:right="0"/>
              <w:rPr>
                <w:rFonts w:hint="default"/>
                <w:color w:val="auto"/>
                <w:highlight w:val="none"/>
              </w:rPr>
            </w:pPr>
          </w:p>
        </w:tc>
        <w:tc>
          <w:tcPr>
            <w:tcW w:w="1620" w:type="dxa"/>
          </w:tcPr>
          <w:p w14:paraId="398D31D5">
            <w:pPr>
              <w:keepNext w:val="0"/>
              <w:keepLines w:val="0"/>
              <w:suppressLineNumbers w:val="0"/>
              <w:spacing w:before="0" w:beforeAutospacing="0" w:after="0" w:afterAutospacing="0"/>
              <w:ind w:left="0" w:right="0"/>
              <w:rPr>
                <w:rFonts w:hint="default"/>
                <w:color w:val="auto"/>
                <w:highlight w:val="none"/>
              </w:rPr>
            </w:pPr>
          </w:p>
        </w:tc>
      </w:tr>
    </w:tbl>
    <w:p w14:paraId="330399A3">
      <w:pP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 xml:space="preserve">法人代表（签章）： </w:t>
      </w:r>
      <w:r>
        <w:rPr>
          <w:rFonts w:hint="eastAsia" w:ascii="仿宋_GB2312" w:eastAsia="仿宋_GB2312"/>
          <w:color w:val="auto"/>
          <w:sz w:val="28"/>
          <w:szCs w:val="28"/>
          <w:highlight w:val="none"/>
          <w:lang w:eastAsia="zh-CN"/>
        </w:rPr>
        <w:t>黄文妮</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审核人（签章）：</w:t>
      </w:r>
      <w:r>
        <w:rPr>
          <w:rFonts w:hint="eastAsia" w:ascii="仿宋_GB2312" w:eastAsia="仿宋_GB2312"/>
          <w:color w:val="auto"/>
          <w:sz w:val="28"/>
          <w:szCs w:val="28"/>
          <w:highlight w:val="none"/>
          <w:lang w:eastAsia="zh-CN"/>
        </w:rPr>
        <w:t>林宇靖</w:t>
      </w:r>
      <w:r>
        <w:rPr>
          <w:rFonts w:hint="eastAsia" w:ascii="仿宋_GB2312" w:eastAsia="仿宋_GB2312"/>
          <w:color w:val="auto"/>
          <w:sz w:val="28"/>
          <w:szCs w:val="28"/>
          <w:highlight w:val="none"/>
        </w:rPr>
        <w:t xml:space="preserve">    填报人（签章）：</w:t>
      </w:r>
      <w:r>
        <w:rPr>
          <w:rFonts w:hint="eastAsia" w:ascii="仿宋_GB2312" w:eastAsia="仿宋_GB2312"/>
          <w:color w:val="auto"/>
          <w:sz w:val="28"/>
          <w:szCs w:val="28"/>
          <w:highlight w:val="none"/>
          <w:lang w:eastAsia="zh-CN"/>
        </w:rPr>
        <w:t>潘笑仪</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lang w:val="en-US" w:eastAsia="zh-CN"/>
        </w:rPr>
        <w:t>88900432</w:t>
      </w:r>
    </w:p>
    <w:p w14:paraId="521A5C50">
      <w:pPr>
        <w:rPr>
          <w:rFonts w:ascii="仿宋_GB2312" w:eastAsia="仿宋_GB2312"/>
          <w:color w:val="auto"/>
          <w:sz w:val="24"/>
          <w:szCs w:val="24"/>
          <w:highlight w:val="none"/>
        </w:rPr>
      </w:pPr>
    </w:p>
    <w:p w14:paraId="7D76103D">
      <w:pPr>
        <w:rPr>
          <w:rFonts w:ascii="仿宋_GB2312" w:eastAsia="仿宋_GB2312"/>
          <w:color w:val="auto"/>
          <w:sz w:val="24"/>
          <w:szCs w:val="24"/>
          <w:highlight w:val="none"/>
        </w:rPr>
      </w:pPr>
    </w:p>
    <w:p w14:paraId="1ED2F8C6">
      <w:pPr>
        <w:rPr>
          <w:rFonts w:ascii="仿宋_GB2312" w:eastAsia="仿宋_GB2312"/>
          <w:color w:val="auto"/>
          <w:sz w:val="24"/>
          <w:szCs w:val="24"/>
          <w:highlight w:val="none"/>
        </w:rPr>
      </w:pPr>
    </w:p>
    <w:p w14:paraId="5AE17C6B">
      <w:pPr>
        <w:rPr>
          <w:rFonts w:ascii="仿宋_GB2312" w:eastAsia="仿宋_GB2312"/>
          <w:color w:val="auto"/>
          <w:sz w:val="24"/>
          <w:szCs w:val="24"/>
          <w:highlight w:val="none"/>
        </w:rPr>
      </w:pPr>
      <w:r>
        <w:rPr>
          <w:rFonts w:hint="eastAsia" w:ascii="仿宋_GB2312" w:eastAsia="仿宋_GB2312"/>
          <w:color w:val="auto"/>
          <w:sz w:val="24"/>
          <w:szCs w:val="24"/>
          <w:highlight w:val="none"/>
          <w:lang w:eastAsia="zh-CN"/>
        </w:rPr>
        <w:t>填报说明</w:t>
      </w:r>
      <w:r>
        <w:rPr>
          <w:rFonts w:hint="eastAsia" w:ascii="仿宋_GB2312" w:eastAsia="仿宋_GB2312"/>
          <w:color w:val="auto"/>
          <w:sz w:val="24"/>
          <w:szCs w:val="24"/>
          <w:highlight w:val="none"/>
        </w:rPr>
        <w:t>：</w:t>
      </w:r>
    </w:p>
    <w:p w14:paraId="621F4575">
      <w:pPr>
        <w:pStyle w:val="9"/>
        <w:numPr>
          <w:ilvl w:val="0"/>
          <w:numId w:val="1"/>
        </w:numPr>
        <w:ind w:firstLineChars="0"/>
        <w:rPr>
          <w:rFonts w:ascii="仿宋_GB2312" w:eastAsia="仿宋_GB2312"/>
          <w:color w:val="auto"/>
          <w:kern w:val="0"/>
          <w:sz w:val="24"/>
          <w:szCs w:val="24"/>
          <w:highlight w:val="none"/>
        </w:rPr>
      </w:pPr>
      <w:r>
        <w:rPr>
          <w:rFonts w:hint="eastAsia" w:ascii="仿宋_GB2312" w:eastAsia="仿宋_GB2312"/>
          <w:b/>
          <w:color w:val="auto"/>
          <w:sz w:val="24"/>
          <w:szCs w:val="24"/>
          <w:highlight w:val="none"/>
        </w:rPr>
        <w:t>就业困难人员类别包括</w:t>
      </w:r>
      <w:r>
        <w:rPr>
          <w:rFonts w:hint="eastAsia" w:ascii="仿宋_GB2312" w:eastAsia="仿宋_GB2312"/>
          <w:color w:val="auto"/>
          <w:sz w:val="24"/>
          <w:szCs w:val="24"/>
          <w:highlight w:val="none"/>
        </w:rPr>
        <w:t>：大龄</w:t>
      </w:r>
      <w:r>
        <w:rPr>
          <w:rFonts w:ascii="仿宋_GB2312" w:eastAsia="仿宋_GB2312"/>
          <w:color w:val="auto"/>
          <w:sz w:val="24"/>
          <w:szCs w:val="24"/>
          <w:highlight w:val="none"/>
        </w:rPr>
        <w:t>失业人员</w:t>
      </w:r>
      <w:r>
        <w:rPr>
          <w:rFonts w:hint="eastAsia" w:ascii="仿宋_GB2312" w:eastAsia="仿宋_GB2312"/>
          <w:color w:val="auto"/>
          <w:sz w:val="24"/>
          <w:szCs w:val="24"/>
          <w:highlight w:val="none"/>
        </w:rPr>
        <w:t>（女</w:t>
      </w:r>
      <w:r>
        <w:rPr>
          <w:rFonts w:ascii="仿宋_GB2312" w:eastAsia="仿宋_GB2312"/>
          <w:color w:val="auto"/>
          <w:sz w:val="24"/>
          <w:szCs w:val="24"/>
          <w:highlight w:val="none"/>
        </w:rPr>
        <w:t>四十周岁以上、男</w:t>
      </w:r>
      <w:r>
        <w:rPr>
          <w:rFonts w:hint="eastAsia" w:ascii="仿宋_GB2312" w:eastAsia="仿宋_GB2312"/>
          <w:color w:val="auto"/>
          <w:sz w:val="24"/>
          <w:szCs w:val="24"/>
          <w:highlight w:val="none"/>
        </w:rPr>
        <w:t>五十</w:t>
      </w:r>
      <w:r>
        <w:rPr>
          <w:rFonts w:ascii="仿宋_GB2312" w:eastAsia="仿宋_GB2312"/>
          <w:color w:val="auto"/>
          <w:sz w:val="24"/>
          <w:szCs w:val="24"/>
          <w:highlight w:val="none"/>
        </w:rPr>
        <w:t>周岁以上</w:t>
      </w:r>
      <w:r>
        <w:rPr>
          <w:rFonts w:hint="eastAsia" w:ascii="仿宋_GB2312" w:eastAsia="仿宋_GB2312"/>
          <w:color w:val="auto"/>
          <w:sz w:val="24"/>
          <w:szCs w:val="24"/>
          <w:highlight w:val="none"/>
        </w:rPr>
        <w:t>）</w:t>
      </w:r>
      <w:r>
        <w:rPr>
          <w:rFonts w:ascii="仿宋_GB2312" w:eastAsia="仿宋_GB2312"/>
          <w:color w:val="auto"/>
          <w:sz w:val="24"/>
          <w:szCs w:val="24"/>
          <w:highlight w:val="none"/>
        </w:rPr>
        <w:t>、</w:t>
      </w:r>
      <w:r>
        <w:rPr>
          <w:rFonts w:hint="eastAsia" w:ascii="仿宋_GB2312" w:eastAsia="仿宋_GB2312"/>
          <w:color w:val="auto"/>
          <w:sz w:val="24"/>
          <w:szCs w:val="24"/>
          <w:highlight w:val="none"/>
        </w:rPr>
        <w:t>残疾人员、</w:t>
      </w:r>
      <w:r>
        <w:rPr>
          <w:rFonts w:hint="eastAsia" w:ascii="仿宋_GB2312" w:eastAsia="仿宋_GB2312"/>
          <w:color w:val="auto"/>
          <w:kern w:val="0"/>
          <w:sz w:val="24"/>
          <w:szCs w:val="24"/>
          <w:highlight w:val="none"/>
        </w:rPr>
        <w:t>享受最低生活保障待遇人员、城镇“零就业家庭”人员、农村零转移就业原建档立卡贫困家庭人员、失地农民、连续</w:t>
      </w:r>
      <w:r>
        <w:rPr>
          <w:rFonts w:ascii="仿宋_GB2312" w:eastAsia="仿宋_GB2312"/>
          <w:color w:val="auto"/>
          <w:kern w:val="0"/>
          <w:sz w:val="24"/>
          <w:szCs w:val="24"/>
          <w:highlight w:val="none"/>
        </w:rPr>
        <w:t>失业一年以上人员、</w:t>
      </w:r>
      <w:r>
        <w:rPr>
          <w:rFonts w:hint="eastAsia" w:ascii="仿宋_GB2312" w:eastAsia="仿宋_GB2312"/>
          <w:color w:val="auto"/>
          <w:kern w:val="0"/>
          <w:sz w:val="24"/>
          <w:szCs w:val="24"/>
          <w:highlight w:val="none"/>
        </w:rPr>
        <w:t>戒毒康复人员、刑满释放人员、精神障碍康复人员、失业6个月以上的退役军人</w:t>
      </w: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rPr>
        <w:t>需赡养患重大疾病直系亲属人员、脱贫人口</w:t>
      </w:r>
      <w:r>
        <w:rPr>
          <w:rFonts w:hint="eastAsia" w:ascii="仿宋_GB2312" w:eastAsia="仿宋_GB2312"/>
          <w:color w:val="auto"/>
          <w:kern w:val="0"/>
          <w:sz w:val="24"/>
          <w:szCs w:val="24"/>
          <w:highlight w:val="none"/>
          <w:lang w:eastAsia="zh-CN"/>
        </w:rPr>
        <w:t>。</w:t>
      </w:r>
    </w:p>
    <w:p w14:paraId="432B150B">
      <w:pPr>
        <w:pStyle w:val="9"/>
        <w:numPr>
          <w:ilvl w:val="0"/>
          <w:numId w:val="1"/>
        </w:numPr>
        <w:ind w:firstLineChars="0"/>
        <w:rPr>
          <w:rFonts w:hint="eastAsia" w:ascii="仿宋_GB2312" w:eastAsia="仿宋_GB2312"/>
          <w:color w:val="auto"/>
          <w:sz w:val="24"/>
          <w:szCs w:val="24"/>
          <w:highlight w:val="none"/>
        </w:rPr>
      </w:pPr>
      <w:r>
        <w:rPr>
          <w:rFonts w:hint="eastAsia" w:ascii="仿宋_GB2312" w:eastAsia="仿宋_GB2312"/>
          <w:b/>
          <w:color w:val="auto"/>
          <w:sz w:val="24"/>
          <w:szCs w:val="24"/>
          <w:highlight w:val="none"/>
          <w:lang w:val="en-US" w:eastAsia="zh-CN"/>
        </w:rPr>
        <w:t>本省</w:t>
      </w:r>
      <w:r>
        <w:rPr>
          <w:rFonts w:hint="default" w:ascii="仿宋_GB2312" w:eastAsia="仿宋_GB2312"/>
          <w:b/>
          <w:color w:val="auto"/>
          <w:sz w:val="24"/>
          <w:szCs w:val="24"/>
          <w:highlight w:val="none"/>
          <w:lang w:val="en-US" w:eastAsia="zh-CN"/>
        </w:rPr>
        <w:t>脱贫人口：</w:t>
      </w:r>
      <w:r>
        <w:rPr>
          <w:rFonts w:hint="default" w:ascii="仿宋_GB2312" w:eastAsia="仿宋_GB2312"/>
          <w:color w:val="auto"/>
          <w:sz w:val="24"/>
          <w:szCs w:val="24"/>
          <w:highlight w:val="none"/>
          <w:lang w:val="en-US" w:eastAsia="zh-CN"/>
        </w:rPr>
        <w:t>指</w:t>
      </w:r>
      <w:r>
        <w:rPr>
          <w:rFonts w:hint="eastAsia" w:ascii="仿宋_GB2312" w:eastAsia="仿宋_GB2312"/>
          <w:color w:val="auto"/>
          <w:sz w:val="24"/>
          <w:szCs w:val="24"/>
          <w:highlight w:val="none"/>
          <w:lang w:val="en-US" w:eastAsia="zh-CN"/>
        </w:rPr>
        <w:t>广东省内原</w:t>
      </w:r>
      <w:r>
        <w:rPr>
          <w:rFonts w:hint="default" w:ascii="仿宋_GB2312" w:eastAsia="仿宋_GB2312"/>
          <w:color w:val="auto"/>
          <w:sz w:val="24"/>
          <w:szCs w:val="24"/>
          <w:highlight w:val="none"/>
          <w:lang w:val="en-US" w:eastAsia="zh-CN"/>
        </w:rPr>
        <w:t>被扶贫部门认定为建档立卡贫困劳动力、</w:t>
      </w:r>
      <w:r>
        <w:rPr>
          <w:rFonts w:hint="eastAsia" w:ascii="仿宋_GB2312" w:eastAsia="仿宋_GB2312"/>
          <w:color w:val="auto"/>
          <w:sz w:val="24"/>
          <w:szCs w:val="24"/>
          <w:highlight w:val="none"/>
          <w:lang w:val="en-US" w:eastAsia="zh-CN"/>
        </w:rPr>
        <w:t>目前仍</w:t>
      </w:r>
      <w:r>
        <w:rPr>
          <w:rFonts w:hint="default" w:ascii="仿宋_GB2312" w:eastAsia="仿宋_GB2312"/>
          <w:color w:val="auto"/>
          <w:sz w:val="24"/>
          <w:szCs w:val="24"/>
          <w:highlight w:val="none"/>
          <w:lang w:val="en-US" w:eastAsia="zh-CN"/>
        </w:rPr>
        <w:t>处于法定劳动年龄内的人员。</w:t>
      </w:r>
    </w:p>
    <w:p w14:paraId="6A1EA0B0">
      <w:pPr>
        <w:pStyle w:val="9"/>
        <w:numPr>
          <w:ilvl w:val="0"/>
          <w:numId w:val="1"/>
        </w:numPr>
        <w:ind w:firstLineChars="0"/>
        <w:rPr>
          <w:rFonts w:ascii="仿宋_GB2312" w:eastAsia="仿宋_GB2312"/>
          <w:color w:val="auto"/>
          <w:sz w:val="24"/>
          <w:szCs w:val="24"/>
          <w:highlight w:val="none"/>
        </w:rPr>
      </w:pPr>
      <w:r>
        <w:rPr>
          <w:rFonts w:hint="eastAsia" w:ascii="仿宋_GB2312" w:eastAsia="仿宋_GB2312"/>
          <w:b/>
          <w:color w:val="auto"/>
          <w:sz w:val="24"/>
          <w:szCs w:val="24"/>
          <w:highlight w:val="none"/>
        </w:rPr>
        <w:t>公益性岗位</w:t>
      </w:r>
      <w:r>
        <w:rPr>
          <w:rFonts w:ascii="仿宋_GB2312" w:eastAsia="仿宋_GB2312"/>
          <w:b/>
          <w:color w:val="auto"/>
          <w:sz w:val="24"/>
          <w:szCs w:val="24"/>
          <w:highlight w:val="none"/>
        </w:rPr>
        <w:t>种类</w:t>
      </w:r>
      <w:r>
        <w:rPr>
          <w:rFonts w:hint="eastAsia" w:ascii="仿宋_GB2312" w:eastAsia="仿宋_GB2312"/>
          <w:b/>
          <w:color w:val="auto"/>
          <w:sz w:val="24"/>
          <w:szCs w:val="24"/>
          <w:highlight w:val="none"/>
        </w:rPr>
        <w:t>包括</w:t>
      </w:r>
      <w:r>
        <w:rPr>
          <w:rFonts w:ascii="仿宋_GB2312" w:eastAsia="仿宋_GB2312"/>
          <w:color w:val="auto"/>
          <w:sz w:val="24"/>
          <w:szCs w:val="24"/>
          <w:highlight w:val="none"/>
        </w:rPr>
        <w:t>：</w:t>
      </w:r>
      <w:r>
        <w:rPr>
          <w:rFonts w:hint="eastAsia" w:ascii="仿宋_GB2312" w:eastAsia="仿宋_GB2312"/>
          <w:color w:val="auto"/>
          <w:kern w:val="0"/>
          <w:sz w:val="24"/>
          <w:szCs w:val="24"/>
          <w:highlight w:val="none"/>
        </w:rPr>
        <w:t>公共管理类岗位、公共服务类岗位、后勤保障类岗位、地级以上市人力资源社会保障部门确定的其他公益性岗位。</w:t>
      </w:r>
    </w:p>
    <w:p w14:paraId="0C72380F">
      <w:pPr>
        <w:pStyle w:val="9"/>
        <w:numPr>
          <w:ilvl w:val="0"/>
          <w:numId w:val="1"/>
        </w:numPr>
        <w:ind w:firstLineChars="0"/>
        <w:rPr>
          <w:rFonts w:ascii="仿宋_GB2312" w:eastAsia="仿宋_GB2312"/>
          <w:color w:val="auto"/>
          <w:kern w:val="0"/>
          <w:sz w:val="24"/>
          <w:szCs w:val="24"/>
          <w:highlight w:val="none"/>
        </w:rPr>
      </w:pPr>
      <w:r>
        <w:rPr>
          <w:rFonts w:hint="eastAsia" w:ascii="仿宋_GB2312" w:eastAsia="仿宋_GB2312"/>
          <w:b/>
          <w:color w:val="auto"/>
          <w:kern w:val="0"/>
          <w:sz w:val="24"/>
          <w:szCs w:val="24"/>
          <w:highlight w:val="none"/>
        </w:rPr>
        <w:t>公益性岗位名称</w:t>
      </w:r>
      <w:r>
        <w:rPr>
          <w:rFonts w:ascii="仿宋_GB2312" w:eastAsia="仿宋_GB2312"/>
          <w:b/>
          <w:color w:val="auto"/>
          <w:kern w:val="0"/>
          <w:sz w:val="24"/>
          <w:szCs w:val="24"/>
          <w:highlight w:val="none"/>
        </w:rPr>
        <w:t>包括：</w:t>
      </w:r>
      <w:r>
        <w:rPr>
          <w:rFonts w:hint="eastAsia" w:ascii="仿宋_GB2312" w:eastAsia="仿宋_GB2312"/>
          <w:color w:val="auto"/>
          <w:kern w:val="0"/>
          <w:sz w:val="24"/>
          <w:szCs w:val="24"/>
          <w:highlight w:val="none"/>
        </w:rPr>
        <w:t>交通值守、治安巡防、市政管理、公共环境卫生，以及乡镇（街道）、社区（行政村）的劳动就业、社会保障、劳动维权、社会救助、社区矫正、群团工作等岗位；乡镇（街道）、社区（行政村）的道路建设与维护、水利工程及水利设施建设与管护、就业社保协管、公共设施管护、耕地保护、河湖巡查与管护、垃圾污水处理、厕所粪污无害化处理、河塘清淤整治、妇幼保健、农村物流快递收发、保洁保安、托老托幼助残、造林绿化等岗位</w:t>
      </w:r>
      <w:r>
        <w:rPr>
          <w:rFonts w:hint="eastAsia" w:ascii="仿宋_GB2312" w:eastAsia="仿宋_GB2312"/>
          <w:color w:val="auto"/>
          <w:kern w:val="0"/>
          <w:sz w:val="24"/>
          <w:szCs w:val="24"/>
          <w:highlight w:val="none"/>
          <w:lang w:eastAsia="zh-CN"/>
        </w:rPr>
        <w:t>；机关事业单位和国有企业、集体企业、社会组织等单位的保洁、保绿、保安等后勤保障相关岗位；</w:t>
      </w:r>
      <w:r>
        <w:rPr>
          <w:rFonts w:hint="eastAsia" w:ascii="仿宋_GB2312" w:eastAsia="仿宋_GB2312"/>
          <w:color w:val="auto"/>
          <w:kern w:val="0"/>
          <w:sz w:val="24"/>
          <w:szCs w:val="24"/>
          <w:highlight w:val="none"/>
        </w:rPr>
        <w:t>经地级以上市人力资源社会保障部门确定可纳入公益性岗位范围的其他岗位</w:t>
      </w:r>
      <w:r>
        <w:rPr>
          <w:rFonts w:hint="eastAsia" w:ascii="仿宋_GB2312" w:eastAsia="仿宋_GB2312"/>
          <w:color w:val="auto"/>
          <w:kern w:val="0"/>
          <w:sz w:val="24"/>
          <w:szCs w:val="24"/>
          <w:highlight w:val="none"/>
          <w:lang w:eastAsia="zh-CN"/>
        </w:rPr>
        <w:t>。</w:t>
      </w:r>
    </w:p>
    <w:p w14:paraId="3AAD7CC6">
      <w:pPr>
        <w:pStyle w:val="9"/>
        <w:numPr>
          <w:ilvl w:val="0"/>
          <w:numId w:val="1"/>
        </w:numPr>
        <w:ind w:firstLineChars="0"/>
        <w:rPr>
          <w:rFonts w:ascii="仿宋_GB2312" w:eastAsia="仿宋_GB2312"/>
          <w:color w:val="auto"/>
          <w:kern w:val="0"/>
          <w:sz w:val="24"/>
          <w:szCs w:val="24"/>
          <w:highlight w:val="none"/>
        </w:rPr>
      </w:pPr>
      <w:r>
        <w:rPr>
          <w:rFonts w:hint="eastAsia" w:ascii="仿宋_GB2312" w:eastAsia="仿宋_GB2312"/>
          <w:b/>
          <w:bCs/>
          <w:color w:val="auto"/>
          <w:kern w:val="0"/>
          <w:sz w:val="24"/>
          <w:szCs w:val="24"/>
          <w:highlight w:val="none"/>
          <w:lang w:eastAsia="zh-CN"/>
        </w:rPr>
        <w:t>补贴期限：</w:t>
      </w:r>
      <w:r>
        <w:rPr>
          <w:rFonts w:hint="eastAsia" w:ascii="仿宋_GB2312" w:eastAsia="仿宋_GB2312"/>
          <w:color w:val="auto"/>
          <w:kern w:val="0"/>
          <w:sz w:val="24"/>
          <w:szCs w:val="24"/>
          <w:highlight w:val="none"/>
          <w:lang w:eastAsia="zh-CN"/>
        </w:rPr>
        <w:t>公益性岗位在岗及补贴期限最长不超过3年。其中乡村公益性岗位每次合同或协议期限不超过1年，期满可以续签。初次安置时距法定退休年龄不足5年的，在岗及补贴期限可延长至退休。对补贴期限届满后仍然难以通过其他渠道实现就业的大龄就业困难人员、零就业家庭成员、有劳动能力重度残疾人等特殊困难人员，可按程序通过公益性岗位予以二次安置，并报送省级人力资源社会保障部门和财政部门备案。相关补贴期限重新计算，二次安置时距法定退休年龄不足5年的，在岗及补贴期限可延长至退休。二次安置补贴期满后，不得继续安置。</w:t>
      </w:r>
    </w:p>
    <w:p w14:paraId="5221950B">
      <w:pPr>
        <w:pStyle w:val="9"/>
        <w:numPr>
          <w:ilvl w:val="0"/>
          <w:numId w:val="1"/>
        </w:numPr>
        <w:ind w:firstLineChars="0"/>
        <w:rPr>
          <w:rFonts w:ascii="仿宋_GB2312" w:eastAsia="仿宋_GB2312"/>
          <w:color w:val="auto"/>
          <w:kern w:val="0"/>
          <w:sz w:val="24"/>
          <w:szCs w:val="24"/>
          <w:highlight w:val="none"/>
        </w:rPr>
      </w:pPr>
      <w:r>
        <w:rPr>
          <w:rFonts w:hint="eastAsia" w:ascii="仿宋_GB2312" w:eastAsia="仿宋_GB2312"/>
          <w:b/>
          <w:color w:val="auto"/>
          <w:kern w:val="0"/>
          <w:sz w:val="24"/>
          <w:szCs w:val="24"/>
          <w:highlight w:val="none"/>
        </w:rPr>
        <w:t>公示时间</w:t>
      </w:r>
      <w:r>
        <w:rPr>
          <w:rFonts w:ascii="仿宋_GB2312" w:eastAsia="仿宋_GB2312"/>
          <w:color w:val="auto"/>
          <w:kern w:val="0"/>
          <w:sz w:val="24"/>
          <w:szCs w:val="24"/>
          <w:highlight w:val="none"/>
        </w:rPr>
        <w:t>：</w:t>
      </w:r>
      <w:r>
        <w:rPr>
          <w:rFonts w:hint="eastAsia" w:ascii="仿宋_GB2312" w:eastAsia="仿宋_GB2312"/>
          <w:color w:val="auto"/>
          <w:kern w:val="0"/>
          <w:sz w:val="24"/>
          <w:szCs w:val="24"/>
          <w:highlight w:val="none"/>
        </w:rPr>
        <w:t>不少于3</w:t>
      </w:r>
      <w:r>
        <w:rPr>
          <w:rFonts w:ascii="仿宋_GB2312" w:eastAsia="仿宋_GB2312"/>
          <w:color w:val="auto"/>
          <w:kern w:val="0"/>
          <w:sz w:val="24"/>
          <w:szCs w:val="24"/>
          <w:highlight w:val="none"/>
        </w:rPr>
        <w:t>个工作日</w:t>
      </w:r>
      <w:r>
        <w:rPr>
          <w:rFonts w:hint="eastAsia" w:ascii="仿宋_GB2312" w:eastAsia="仿宋_GB2312"/>
          <w:color w:val="auto"/>
          <w:kern w:val="0"/>
          <w:sz w:val="24"/>
          <w:szCs w:val="24"/>
          <w:highlight w:val="none"/>
        </w:rPr>
        <w:t>。</w:t>
      </w:r>
    </w:p>
    <w:sectPr>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B3B9D"/>
    <w:multiLevelType w:val="multilevel"/>
    <w:tmpl w:val="208B3B9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DF"/>
    <w:rsid w:val="00034C0B"/>
    <w:rsid w:val="00060121"/>
    <w:rsid w:val="000A36C2"/>
    <w:rsid w:val="000A5D66"/>
    <w:rsid w:val="001D0E1C"/>
    <w:rsid w:val="001E46E2"/>
    <w:rsid w:val="00214472"/>
    <w:rsid w:val="00290EE8"/>
    <w:rsid w:val="00295145"/>
    <w:rsid w:val="002D44FF"/>
    <w:rsid w:val="003764C2"/>
    <w:rsid w:val="00446311"/>
    <w:rsid w:val="004A6624"/>
    <w:rsid w:val="004F229E"/>
    <w:rsid w:val="004F6BA5"/>
    <w:rsid w:val="005026E4"/>
    <w:rsid w:val="00503C11"/>
    <w:rsid w:val="00562302"/>
    <w:rsid w:val="00594CDF"/>
    <w:rsid w:val="00645BE6"/>
    <w:rsid w:val="0066235F"/>
    <w:rsid w:val="00763E1B"/>
    <w:rsid w:val="00841CAB"/>
    <w:rsid w:val="00974641"/>
    <w:rsid w:val="009A2CC5"/>
    <w:rsid w:val="00A461DB"/>
    <w:rsid w:val="00AE12BF"/>
    <w:rsid w:val="00B833DF"/>
    <w:rsid w:val="00B8737B"/>
    <w:rsid w:val="00BE5CF4"/>
    <w:rsid w:val="00C011B3"/>
    <w:rsid w:val="00C61307"/>
    <w:rsid w:val="00D12533"/>
    <w:rsid w:val="00D34A83"/>
    <w:rsid w:val="00D520B4"/>
    <w:rsid w:val="00DD7D3C"/>
    <w:rsid w:val="00F1758C"/>
    <w:rsid w:val="00F176F5"/>
    <w:rsid w:val="00F951E0"/>
    <w:rsid w:val="00FA1D5A"/>
    <w:rsid w:val="00FD1ED7"/>
    <w:rsid w:val="0111163F"/>
    <w:rsid w:val="02E9467C"/>
    <w:rsid w:val="04E93D68"/>
    <w:rsid w:val="066666AA"/>
    <w:rsid w:val="06CC61CF"/>
    <w:rsid w:val="077812C8"/>
    <w:rsid w:val="08154250"/>
    <w:rsid w:val="0D2B6C4B"/>
    <w:rsid w:val="0EF70BA3"/>
    <w:rsid w:val="128B60FB"/>
    <w:rsid w:val="138763CF"/>
    <w:rsid w:val="16386C90"/>
    <w:rsid w:val="176833F6"/>
    <w:rsid w:val="195036E6"/>
    <w:rsid w:val="1ACC2385"/>
    <w:rsid w:val="1D0205B4"/>
    <w:rsid w:val="1D73345A"/>
    <w:rsid w:val="1FD71884"/>
    <w:rsid w:val="20304DEB"/>
    <w:rsid w:val="20D32FEA"/>
    <w:rsid w:val="231D4F9F"/>
    <w:rsid w:val="26A21F3D"/>
    <w:rsid w:val="27EE7D40"/>
    <w:rsid w:val="2B1645D6"/>
    <w:rsid w:val="2E16764F"/>
    <w:rsid w:val="2EB218D2"/>
    <w:rsid w:val="30F1114E"/>
    <w:rsid w:val="31665B97"/>
    <w:rsid w:val="321737BD"/>
    <w:rsid w:val="36B01C84"/>
    <w:rsid w:val="37D54FC8"/>
    <w:rsid w:val="38505FA4"/>
    <w:rsid w:val="3987685A"/>
    <w:rsid w:val="3A4D6118"/>
    <w:rsid w:val="3B45085C"/>
    <w:rsid w:val="3B784C79"/>
    <w:rsid w:val="3D387378"/>
    <w:rsid w:val="3D9E2C94"/>
    <w:rsid w:val="3E550D8E"/>
    <w:rsid w:val="3ED85A3D"/>
    <w:rsid w:val="41230EDE"/>
    <w:rsid w:val="4186032E"/>
    <w:rsid w:val="429B2A08"/>
    <w:rsid w:val="46970B5D"/>
    <w:rsid w:val="48DD58AD"/>
    <w:rsid w:val="4A8E6E52"/>
    <w:rsid w:val="4B0B2B3C"/>
    <w:rsid w:val="4B4E65EF"/>
    <w:rsid w:val="4BE05959"/>
    <w:rsid w:val="4DE77A93"/>
    <w:rsid w:val="4E177D21"/>
    <w:rsid w:val="4E272E92"/>
    <w:rsid w:val="551D4C50"/>
    <w:rsid w:val="57565D62"/>
    <w:rsid w:val="59450902"/>
    <w:rsid w:val="5D2E2DA3"/>
    <w:rsid w:val="647C1598"/>
    <w:rsid w:val="65BC143C"/>
    <w:rsid w:val="664C5F41"/>
    <w:rsid w:val="67F105D6"/>
    <w:rsid w:val="694D335E"/>
    <w:rsid w:val="69E95A08"/>
    <w:rsid w:val="6D486939"/>
    <w:rsid w:val="708211B5"/>
    <w:rsid w:val="72590E4A"/>
    <w:rsid w:val="73413544"/>
    <w:rsid w:val="74922B88"/>
    <w:rsid w:val="753871DF"/>
    <w:rsid w:val="78E85FCE"/>
    <w:rsid w:val="7DD9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D0B89-77EC-4936-AAF8-8E449F057AA6}">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1289</Words>
  <Characters>1369</Characters>
  <Lines>11</Lines>
  <Paragraphs>3</Paragraphs>
  <TotalTime>62</TotalTime>
  <ScaleCrop>false</ScaleCrop>
  <LinksUpToDate>false</LinksUpToDate>
  <CharactersWithSpaces>1479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2019-12-24T03:14:00Z</dcterms:created>
  <dc:creator>唐春峰</dc:creator>
  <cp:lastModifiedBy>WPS_1510288561</cp:lastModifiedBy>
  <cp:lastPrinted>2025-09-16T01:15:00Z</cp:lastPrinted>
  <dcterms:modified xsi:type="dcterms:W3CDTF">2025-09-16T02:48:19Z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1CE95AC0DDBC4767ADEC1BC93FC6BD00_13</vt:lpwstr>
  </property>
  <property fmtid="{D5CDD505-2E9C-101B-9397-08002B2CF9AE}" pid="4" name="KSOTemplateDocerSaveRecord">
    <vt:lpwstr>eyJoZGlkIjoiYmNlY2JlZjMyNzA3N2I2YjRhNmMyYzUxMjM2M2M5MjUiLCJ1c2VySWQiOiIzMjE4MzYyMjAifQ==</vt:lpwstr>
  </property>
</Properties>
</file>